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10kV配电工程专项技术方案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一、工程概述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10kV配电工程依托上游35kV变电站电源出线，构建区域中压配电网供电体系，主要服务于工业厂区、产业园区、工矿企业及配套终端用电负荷，承担电能分配、输送、末端供电保障功能。工程涵盖10kV架空线路、电缆线路、开关设备、终端变电设备、保护计量、安防消防及配套土建工程，形成“变电站出线—主干配网—分支线路—末端用电”的完整供电链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严格遵循配电网安全可靠、经济合理、运维便捷、智能扩容的建设原则，采用标准化、模块化、智能化设计，适配常规负荷及重要不间断用电负荷供电需求，预留分布式电源、储能装置接入接口，满足后期负荷增长及电网升级改造需求，符合国家配电网高质量发展建设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二、设计依据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本工程设计、设备选型、施工安装、试验验收全过程严格遵循国家及行业现行标准、规范及政策文件，确保工程合规性、安全性、稳定性与先进性，核心依据如下：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GB 50217-2018《电力工程电缆设计标准》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GB 50173-2014《电气装置安装工程 35kV及以下架空电力线路施工及验收规范》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DL/T 5220-2016《10kV及以下架空配电线路设计规范》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DL/T 5352-2018《高压配电装置设计技术规程》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DL/T 1970-2018《中压配电网改造技术导则》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GB 50064-2014《交流电气装置的过电压保护和绝缘配合设计规范》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GB 50057-2010《建筑物防雷设计规范》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发改能源〔2024〕187号《新形势下配电网高质量发展的指导意见》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国家电网配电网工程标准化建设导则、隐蔽工程施工验收规范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三、总体设计原则与建设规模</w:t>
      </w:r>
      <w:bookmarkEnd w:id="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3.1 设计原则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本配电工程整体遵循</w:t>
      </w:r>
      <w:r>
        <w:rPr>
          <w:rFonts w:eastAsia="等线" w:ascii="Arial" w:cs="Arial" w:hAnsi="Arial"/>
          <w:b w:val="true"/>
          <w:sz w:val="22"/>
        </w:rPr>
        <w:t>安全可靠、经济适配、施工便捷、运维简易、节能环保、扩容灵活</w:t>
      </w:r>
      <w:r>
        <w:rPr>
          <w:rFonts w:eastAsia="等线" w:ascii="Arial" w:cs="Arial" w:hAnsi="Arial"/>
          <w:sz w:val="22"/>
        </w:rPr>
        <w:t>六大核心原则。优化网架结构，合理规划线路路径，降低线路损耗与外力破坏风险；分级配置保护装置，实现故障精准隔离、逐级切除，避免故障越级扩散；统一设备选型与施工标准，便于后期巡检、检修及备品备件替换；预留充足扩容空间与智能化升级接口，适配区域负荷逐年增长及新型电力系统接入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3.2 建设规模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以35kV变电站10kV出线为电源核心，搭建区域10kV配电网体系，主要建设内容包含：10kV主干架空/电缆线路、分支配电线路、环网柜、分界开关、终端箱式变压器、低压配电系统、继电保护系统、智能计量系统、防雷接地及配套土建、安防消防工程。网架采用主干环网、分支辐射混合模式，重要负荷双回路供电，普通负荷单回路供电，适配不同用电等级负荷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" w:id="5"/>
      <w:r>
        <w:rPr>
          <w:rFonts w:eastAsia="等线" w:ascii="Arial" w:cs="Arial" w:hAnsi="Arial"/>
          <w:b w:val="true"/>
          <w:sz w:val="36"/>
        </w:rPr>
        <w:t>四、配电网整体网架方案</w:t>
      </w:r>
      <w:bookmarkEnd w:id="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4.1 网架结构形式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本站10kV配电系统采用</w:t>
      </w:r>
      <w:r>
        <w:rPr>
          <w:rFonts w:eastAsia="等线" w:ascii="Arial" w:cs="Arial" w:hAnsi="Arial"/>
          <w:b w:val="true"/>
          <w:sz w:val="22"/>
        </w:rPr>
        <w:t>环网架构、分段供电、灵活联络</w:t>
      </w:r>
      <w:r>
        <w:rPr>
          <w:rFonts w:eastAsia="等线" w:ascii="Arial" w:cs="Arial" w:hAnsi="Arial"/>
          <w:sz w:val="22"/>
        </w:rPr>
        <w:t>的智能化组网模式，以变电站10kV母线为电源枢纽，向外辐射搭建主干配电网络，通过联络开关、分段开关实现多回路互通互备。正常运行时分段开环运行，故障状态下快速闭环转供，有效缩小停电范围，大幅提升供电可靠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4.2 供电分区规划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现场地形、建筑布局、负荷分布及用电重要等级，将配网划分为主干供电区、分支供电区、末端负荷区。主干线路承担区域核心负荷输送，保障重要生产、办公负荷不间断供电；分支线路负责片区、单体建筑负荷分配；末端设备实现电压变换、电能计量与终端保护。网架整体层次清晰、分区明确，便于精细化运维与故障排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4.3 扩容与兼容设计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网架及设备选型预留15%～20%负荷扩容余量，线路截面、开关设备容量均按远期最大负荷配置。同时预留分布式光伏、储能装置、充电桩等新型负荷接入接口，支持有源配电网运行模式，满足区域长期用电发展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五、10kV架空线路工程</w:t>
      </w:r>
      <w:bookmarkEnd w:id="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5.1 线路路径与杆型配置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kV架空线路路径结合现场地形、道路规划、建筑布局优化布设，主动规避易燃易爆、低洼积水、地质松软、树木密集区域，减少跨道路、跨管线、跨建筑交叉施工，降低外力破坏与安全隐患，保障线路长期运行稳定、运维便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采用标准化预应力水泥电杆，规格匹配负荷等级与线路跨度：主干线采用190mm×12m标准电杆，普通分支线采用150mm×10m电杆；线路转角、终端、大跨度跨越及受力点位增设加固杆、撑杆与基础加固处理，抵御大风、雨雪等恶劣天气影响，保证线路整体稳定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5.2 导线与金具选型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为提升线路绝缘防护能力，全线统一采用</w:t>
      </w:r>
      <w:r>
        <w:rPr>
          <w:rFonts w:eastAsia="等线" w:ascii="Arial" w:cs="Arial" w:hAnsi="Arial"/>
          <w:b w:val="true"/>
          <w:sz w:val="22"/>
        </w:rPr>
        <w:t>JKLYJ-10kV交联聚乙烯绝缘架空导线</w:t>
      </w:r>
      <w:r>
        <w:rPr>
          <w:rFonts w:eastAsia="等线" w:ascii="Arial" w:cs="Arial" w:hAnsi="Arial"/>
          <w:sz w:val="22"/>
        </w:rPr>
        <w:t>，有效防范树障、外力触碰、相间短路故障。导线截面根据负荷容量、输送距离与压降要求匹配：主干线选用120mm²、150mm²、185mm²大截面导线，保障大负荷稳定输送；分支线选用70mm²、95mm²导线，适配末端分散负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线路配套金具全部采用热镀锌防腐标准化产品，包含耐张线夹、悬垂线夹、接续金具、紧固金具等，规格与导线、杆塔精准匹配，杜绝锈蚀、松动、发热隐患，满足长期户外运行要求。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5.3 线路附属设施与防护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配置完善防雷设施，每基杆塔装设氧化锌避雷器，空旷区域、转角杆、终端杆加密防雷配置，有效抑制雷电过电压与操作过电压损坏线路及末端设备。杆塔统一装设相序标识、线路编号、安全警示标牌，跨道路、行人密集区域加装绝缘防护套管，防范外力误伤与线路故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架空线路配套接地装置采用人工接地极+热镀锌扁钢敷设，接地电阻严格控制≤10Ω，满足10kV配网防雷接地规范要求，保障雷电故障时快速泄放电流。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六、10kV电缆线路工程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6.1 电缆选型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针对厂区内部、建筑密集区、道路下方及景观要求较高区域，全部采用地埋电缆敷设方式，电缆选用</w:t>
      </w:r>
      <w:r>
        <w:rPr>
          <w:rFonts w:eastAsia="等线" w:ascii="Arial" w:cs="Arial" w:hAnsi="Arial"/>
          <w:b w:val="true"/>
          <w:sz w:val="22"/>
        </w:rPr>
        <w:t>YJV22-8.7/10kV铜芯交联聚乙烯绝缘钢带铠装阻燃电力电缆</w:t>
      </w:r>
      <w:r>
        <w:rPr>
          <w:rFonts w:eastAsia="等线" w:ascii="Arial" w:cs="Arial" w:hAnsi="Arial"/>
          <w:sz w:val="22"/>
        </w:rPr>
        <w:t>，具备阻燃、防潮、抗碾压、耐腐蚀、绝缘性能稳定等优势，适配地下复杂敷设环境。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电缆截面根据远期最大负荷电流、短路容量、输送压降综合选型：主干电缆采用150～240mm²，分支电缆采用70～120mm²，全程预留充足载流量余量，满足负荷扩容需求。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6.2 敷设工艺标准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电缆采用电缆沟、桥架、直埋三种敷设方式，优先选用电缆沟敷设，便于后期巡检、检修与扩容改造。强弱电电缆分层、分区间布置，高压电缆、控制电缆、通讯电缆独立分区敷设，杜绝电磁干扰影响设备运行。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直埋敷设严格执行规范标准，敷设深度不小于1.2m，顶部覆土厚度不低于0.5m，敷设底部铺设细沙垫层，电缆敷设完成后分层回填夯实，全程留存隐蔽工程影像及验收记录。电缆转弯、接头、终端位置预留规范余量，所有电缆粘贴清晰标识，注明回路编号、用途、起止点位及敷设日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6.3 防火、防水与封堵处理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穿越墙体、楼板、开关柜出入口及电缆沟分段位置，采用防火泥、防火隔板、防火封堵板材进行严密封堵，阻断火灾蔓延通道。电缆沟设置不小于0.3%排水坡度，低洼区域配套集水井与排水设施，杜绝沟内积水浸泡电缆。潮湿、地下水位较高区域采用防水加强型施工工艺，提升电缆防潮、防水能力，保障绝缘性能长期稳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7" w:id="17"/>
      <w:r>
        <w:rPr>
          <w:rFonts w:eastAsia="等线" w:ascii="Arial" w:cs="Arial" w:hAnsi="Arial"/>
          <w:b w:val="true"/>
          <w:sz w:val="36"/>
        </w:rPr>
        <w:t>七、末端配电设备配置</w:t>
      </w:r>
      <w:bookmarkEnd w:id="1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7.1 环网柜与分界开关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网主干分段节点、负荷分界点、线路联络点配置智能化10kV环网柜与户外真空分界负荷开关，设备采用模块化设计，集成开关本体、保护测控、故障检测、通讯传输功能。可实时监测线路运行状态，快速识别短路、过流、零序故障，自动隔离故障区间，避免分支故障越级影响主干线路供电，支持远程监测、就地操作与故障报警，适配智能配网运维体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7.2 箱式变压器设备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末端分散负荷区域配置标准化欧式户外箱式变压器，根据末端负荷规模匹配250～1250kVA容量，电压等级10/0.4kV，接线组别Dyn11。箱变集成10kV高压开关、变压器本体、0.4kV低压配电、保护计量、无功补偿单元，结构紧凑、防护等级高、噪音低、损耗小。设备配备过载、短路、漏电、超温全套保护，可自动跳闸保护设备安全，适配厂区、园区各类末端供电场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7.3 低压配电系统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0.4kV低压配电系统统一采用TN-S三相五线制接地制式，低压配电柜配置总进线开关、分路断路器、漏电保护装置、智能计量装置、辅助无功补偿装置。各用电回路独立保护、独立控制，可实现单回路故障单独跳闸，互不影响整体供电。低压线缆选用阻燃绝缘电缆，敷设规范、防护到位，全面保障末端用电安全稳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八、保护、计量与自动化系统</w:t>
      </w:r>
      <w:bookmarkEnd w:id="2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8.1 分级继电保护配置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本工程采用</w:t>
      </w:r>
      <w:r>
        <w:rPr>
          <w:rFonts w:eastAsia="等线" w:ascii="Arial" w:cs="Arial" w:hAnsi="Arial"/>
          <w:b w:val="true"/>
          <w:sz w:val="22"/>
        </w:rPr>
        <w:t>逐级分级保护体系</w:t>
      </w:r>
      <w:r>
        <w:rPr>
          <w:rFonts w:eastAsia="等线" w:ascii="Arial" w:cs="Arial" w:hAnsi="Arial"/>
          <w:sz w:val="22"/>
        </w:rPr>
        <w:t>，实现故障精准定位、分层切除，杜绝越级跳闸：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变电站10kV出线保护</w:t>
      </w:r>
      <w:r>
        <w:rPr>
          <w:rFonts w:eastAsia="等线" w:ascii="Arial" w:cs="Arial" w:hAnsi="Arial"/>
          <w:sz w:val="22"/>
        </w:rPr>
        <w:t>：配置电流速断、限时过流、零序过流、小电流接地选线保护，作为配网主干线路主保护与后备保护。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线路分段/分界开关保护</w:t>
      </w:r>
      <w:r>
        <w:rPr>
          <w:rFonts w:eastAsia="等线" w:ascii="Arial" w:cs="Arial" w:hAnsi="Arial"/>
          <w:sz w:val="22"/>
        </w:rPr>
        <w:t>：配置分段过流保护、故障隔离保护，实现分支线路故障独立切除。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末端箱变保护</w:t>
      </w:r>
      <w:r>
        <w:rPr>
          <w:rFonts w:eastAsia="等线" w:ascii="Arial" w:cs="Arial" w:hAnsi="Arial"/>
          <w:sz w:val="22"/>
        </w:rPr>
        <w:t>：高压侧配置过流、速断保护，低压侧配置过载、短路、漏电保护，全方位保障末端设备安全。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8.2 智能计量系统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10kV出线、分支回路、末端台区及重点用电设备配置高精度智能远程计量装置，采用高供高计模式，计量精度满足贸易结算标准。电压互感器准确度等级不低于0.5级，电流互感器准确度等级不低于0.5S级，多功能电能表准确度等级0.5S级，可实现有功、无功、峰谷电量实时计量、数据存储、远程上传，支持能耗统计、负荷分析、用电管控，可无缝对接电力调度平台与企业能耗管理系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8.3 数据通讯与监控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网终端设备集成通讯模块，支持电力通用规约，可将线路电流、电压、功率、电量、开关状态、故障信息实时上传至后台监控系统。具备遥测、遥信功能，支持故障自动报警、事件记录、数据溯源，实现配网可视化、智能化运维，减少人工巡检工作量，提升故障处置效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九、防雷接地与过电压保护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9.1 全线防雷体系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构建线路、设备、终端三级防雷体系，架空线路杆塔、电缆进出线、环网柜、箱变等关键设备全部配置氧化锌避雷器，抑制雷电过电压与操作过电压。户外设备、柜体金属部位可靠接地，二次通讯、控制线路配置专用防雷器，防范感应雷损坏精密设备，保障配网全链路安全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9.2 接地系统设计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工程采用分区联合接地方式，所有电气设备金属外壳、杆塔、柜体、电缆桥架、金属管线全部可靠接入接地网。架空线路杆塔接地电阻≤10Ω，配电设备、箱变、环网柜接地电阻≤4Ω，有效降低接触电压、跨步电压，杜绝漏电、静电积聚隐患，保障人身与设备安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8" w:id="28"/>
      <w:r>
        <w:rPr>
          <w:rFonts w:eastAsia="等线" w:ascii="Arial" w:cs="Arial" w:hAnsi="Arial"/>
          <w:b w:val="true"/>
          <w:sz w:val="36"/>
        </w:rPr>
        <w:t>十、施工工艺与质量管控</w:t>
      </w:r>
      <w:bookmarkEnd w:id="2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10.1 核心施工工艺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架空线路施工严控杆塔基础平整度、垂直度，规范金具安装、导线弛度调整，保证线路受力均匀、连接牢固；电缆施工严控敷设张力、弯曲半径，杜绝电缆挤压、划伤、扭曲、受潮，电缆接头、终端制作严格执行标准化工艺，保障绝缘性能达标；设备安装保证水平、垂直精度，接线规整、标识清晰、紧固可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10.2 全过程质量管控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“分步施工、分步验收、隐蔽工程重点管控”机制，所有隐蔽工程施工全程影像留存，验收合格后方可回填覆盖。工程完工后开展全套电气试验，包含绝缘电阻测试、工频耐压试验、接地电阻测试、保护定值校验、回路通断试验、联动调试等，所有试验数据达标后方可投入试运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十一、运维保障与安全措施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11.1 常态化运维管理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网系统具备故障自动定位、报警、隔离功能，运维人员可依托智能监控平台快速排查故障、恢复供电。建立常态化巡检机制，定期开展线路测温、绝缘检测、设备除尘、金具防腐、树障清理等运维工作，建立完整运维台账，及时整改设备隐患，保障配网长期高效稳定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11.2 安全保障措施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完善安全警示、防撞、防护设施，关键点位设置防护围栏与警示标识。严格执行电气作业安全规程，落实停电、验电、接地、挂牌、装设遮栏安全措施，杜绝违章作业。设备定期开展预防性试验，及时排查老化、绝缘下降、接触不良等隐患，防范短路、漏电、停电事故发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4" w:id="34"/>
      <w:r>
        <w:rPr>
          <w:rFonts w:eastAsia="等线" w:ascii="Arial" w:cs="Arial" w:hAnsi="Arial"/>
          <w:b w:val="true"/>
          <w:sz w:val="36"/>
        </w:rPr>
        <w:t>十二、方案总结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10kV配电工程技术方案网架结构科学合理、设备选型成熟可靠、保护配置分级完善、施工标准规范，完全适配35kV变电站配套末端配电需求。方案兼顾供电可靠性、运行经济性、运维便捷性与未来扩容性，可有效保障区域内各类负荷安全、稳定、连续用电，符合现代智能配电网建设标准，能够为项目长期安全供电提供坚实的技术支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87360">
    <w:lvl>
      <w:numFmt w:val="bullet"/>
      <w:suff w:val="tab"/>
      <w:lvlText w:val="•"/>
      <w:rPr>
        <w:color w:val="3370ff"/>
      </w:rPr>
    </w:lvl>
  </w:abstractNum>
  <w:abstractNum w:abstractNumId="1287361">
    <w:lvl>
      <w:numFmt w:val="bullet"/>
      <w:suff w:val="tab"/>
      <w:lvlText w:val="•"/>
      <w:rPr>
        <w:color w:val="3370ff"/>
      </w:rPr>
    </w:lvl>
  </w:abstractNum>
  <w:abstractNum w:abstractNumId="1287362">
    <w:lvl>
      <w:numFmt w:val="bullet"/>
      <w:suff w:val="tab"/>
      <w:lvlText w:val="•"/>
      <w:rPr>
        <w:color w:val="3370ff"/>
      </w:rPr>
    </w:lvl>
  </w:abstractNum>
  <w:abstractNum w:abstractNumId="1287363">
    <w:lvl>
      <w:numFmt w:val="bullet"/>
      <w:suff w:val="tab"/>
      <w:lvlText w:val="•"/>
      <w:rPr>
        <w:color w:val="3370ff"/>
      </w:rPr>
    </w:lvl>
  </w:abstractNum>
  <w:abstractNum w:abstractNumId="1287364">
    <w:lvl>
      <w:numFmt w:val="bullet"/>
      <w:suff w:val="tab"/>
      <w:lvlText w:val="•"/>
      <w:rPr>
        <w:color w:val="3370ff"/>
      </w:rPr>
    </w:lvl>
  </w:abstractNum>
  <w:abstractNum w:abstractNumId="1287365">
    <w:lvl>
      <w:numFmt w:val="bullet"/>
      <w:suff w:val="tab"/>
      <w:lvlText w:val="•"/>
      <w:rPr>
        <w:color w:val="3370ff"/>
      </w:rPr>
    </w:lvl>
  </w:abstractNum>
  <w:abstractNum w:abstractNumId="1287366">
    <w:lvl>
      <w:numFmt w:val="bullet"/>
      <w:suff w:val="tab"/>
      <w:lvlText w:val="•"/>
      <w:rPr>
        <w:color w:val="3370ff"/>
      </w:rPr>
    </w:lvl>
  </w:abstractNum>
  <w:abstractNum w:abstractNumId="1287367">
    <w:lvl>
      <w:numFmt w:val="bullet"/>
      <w:suff w:val="tab"/>
      <w:lvlText w:val="•"/>
      <w:rPr>
        <w:color w:val="3370ff"/>
      </w:rPr>
    </w:lvl>
  </w:abstractNum>
  <w:abstractNum w:abstractNumId="1287368">
    <w:lvl>
      <w:numFmt w:val="bullet"/>
      <w:suff w:val="tab"/>
      <w:lvlText w:val="•"/>
      <w:rPr>
        <w:color w:val="3370ff"/>
      </w:rPr>
    </w:lvl>
  </w:abstractNum>
  <w:abstractNum w:abstractNumId="1287369">
    <w:lvl>
      <w:numFmt w:val="bullet"/>
      <w:suff w:val="tab"/>
      <w:lvlText w:val="•"/>
      <w:rPr>
        <w:color w:val="3370ff"/>
      </w:rPr>
    </w:lvl>
  </w:abstractNum>
  <w:abstractNum w:abstractNumId="1287370">
    <w:lvl>
      <w:numFmt w:val="bullet"/>
      <w:suff w:val="tab"/>
      <w:lvlText w:val="•"/>
      <w:rPr>
        <w:color w:val="3370ff"/>
      </w:rPr>
    </w:lvl>
  </w:abstractNum>
  <w:abstractNum w:abstractNumId="1287371">
    <w:lvl>
      <w:numFmt w:val="bullet"/>
      <w:suff w:val="tab"/>
      <w:lvlText w:val="•"/>
      <w:rPr>
        <w:color w:val="3370ff"/>
      </w:rPr>
    </w:lvl>
  </w:abstractNum>
  <w:num w:numId="1">
    <w:abstractNumId w:val="1287360"/>
  </w:num>
  <w:num w:numId="2">
    <w:abstractNumId w:val="1287361"/>
  </w:num>
  <w:num w:numId="3">
    <w:abstractNumId w:val="1287362"/>
  </w:num>
  <w:num w:numId="4">
    <w:abstractNumId w:val="1287363"/>
  </w:num>
  <w:num w:numId="5">
    <w:abstractNumId w:val="1287364"/>
  </w:num>
  <w:num w:numId="6">
    <w:abstractNumId w:val="1287365"/>
  </w:num>
  <w:num w:numId="7">
    <w:abstractNumId w:val="1287366"/>
  </w:num>
  <w:num w:numId="8">
    <w:abstractNumId w:val="1287367"/>
  </w:num>
  <w:num w:numId="9">
    <w:abstractNumId w:val="1287368"/>
  </w:num>
  <w:num w:numId="10">
    <w:abstractNumId w:val="1287369"/>
  </w:num>
  <w:num w:numId="11">
    <w:abstractNumId w:val="1287370"/>
  </w:num>
  <w:num w:numId="12">
    <w:abstractNumId w:val="128737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2026-06-16T08:38:13Z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{"Label":"1","ContentProducer":"001191110102MACQD9K64010000","ProduceID":"7651909828726049759","ReservedCode1":"","ContentPropagator":"","PropagateID":"","ReservedCode2":""}</vt:lpwstr>
  </property>
</Properties>
</file>