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电力工程项目总体施工组织设计方案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编制说明及编制依据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编制说明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施工组织设计为【________电力建设项目】总体施工全流程指导性文件，适配10kV/35kV配电线路、箱变安装、电缆敷设、变电站土建及电气安装、管沟迁改一体化电力施工项目，统筹项目前期踏勘、临电布设、土建施工、电气安装、试验调试、竣工验收、送电移交全周期管理工作。方案严格遵循电力行业安全作业、电网运维管控标准，立足“电网零隐患、施工零违章、质量零缺陷、作业零触电、按期零延误”核心管控原则，优化线路架设、设备安装、电缆接驳、停电作业、交叉跨路施工流水排布，统筹人机料、特种作业人员、电力专项机具调配，规避临近带电体施工、跨公路跨管线作业、雨季电缆施工安全风险，满足国网/地方供电公司验收、并网送电、资料归档全流程要求，保障项目合规施工、平稳并网交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1.2.1 项目文件依据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本电力项目施工总承包招标文件、答疑纪要、中标通知书、电网施工准入批复文件；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项目电力施工图、电气系统图、杆塔布置图、电缆路径图、图纸会审纪要、岩土工程勘察报告、线路红线规划、电力廊道批复文件；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建设单位供电施工合同、停电作业许可方案、并网节点要求、供电公司专项验收标准；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施工现场管线摸排报告、既有带电线路勘察资料、属地交通、园林、市政占道施工批复文件。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1.2.2 国家及电力行业规范标准</w:t>
      </w:r>
      <w:bookmarkEnd w:id="4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《电气装置安装工程施工及验收统一标准》（GB50303-2015）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《10kV及以下架空配电线路施工及验收规范》（GB50173-2014）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《电力电缆工程施工质量验收规范》（GB50168-2018）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《施工现场临时用电安全技术规范》（JGJ46-2005）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《国家电网电力安全工作规程 配电部分》（Q/GDW 1799.2-2020）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《建设工程施工现场消防安全技术规范》（GB50720-2011）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《电力建设安全工作规程 配电线路部分》（DL/T5344-2018）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属地电力施工现场扬尘管控、占道施工、带电作业、高处作业属地管理条例、供电公司现场作业管控细则。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1.2.3 企业内部依据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司电力工程质量管理体系、环境管理体系、职业健康安全管理体系文件；企业同类配电线路、变电站、电缆迁改电力项目施工工法、带电作业专项资质、特种作业人员管理制度、电力专用施工机具及试验检测设备性能参数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第二章 电力工程概况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2.1 项目基本信息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项目名称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________10kV/35kV配电新建及改造电力工程项目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建设地点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____市____区____片区，线路途经市政道路、林地、居民区、厂区，跨既有市政管线、通信线路、公路主干道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________供电有限公司/城投基建集团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设计单位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________电力工程设计研究院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________电力工程监理有限公司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________电力建设工程有限公司（具备电力承装三级及以上资质）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计划总工期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____日历天，计划开工：____年__月__日，计划并网送电：____年__月__日，含停电窗口期专项工期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质量目标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电力工程合格标准，满足国网并网验收，杜绝电缆绝缘、杆塔接地、接线工艺缺陷，争创片区优质电力工程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安全目标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零触电、零高空坠落、零设备损毁、零电网跳闸、零火灾、零交通作业事故，特种作业违章率为0，轻伤事故率为0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电力工程建设概况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城乡片区配套供电电力工程，工程电压等级10kV/35kV，整体分为架空线路施工、电缆敷设施工、配电设备安装、附属土建四大板块；新建架空线路总长____m，混凝土杆塔/钢管杆塔共计____基；直埋+排管电力电缆总长____m，电缆规格YJV22-8.7/10kV系列；新建户外箱式变电站____台、环网柜____台、分界开关____组；配套建设电缆检查井____座、电缆管沟、杆塔基础、接地装置、线路警示防护设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全域范围：杆塔基础土建浇筑、杆塔组立、金具绝缘子安装、架空导线架设、电力管沟开挖砌筑、电缆敷设接驳、电缆头制作、高低压设备吊装接线、接地系统施工、绝缘耐压试验、相序校核、线路清障、老旧线路拆除、停电接驳、并网调试、竣工消缺全流程电力专项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2.3 场地、廊道及作业环境概况</w:t>
      </w:r>
      <w:bookmarkEnd w:id="9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廊道地貌：施工廊道涵盖市政人行道、车行道路、城郊林地、小区红线用地，场地高差0.5-3m，局部路基土质松软，管沟开挖易塌方；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地质水文：廊道土层自上而下为杂填土、粉质黏土，地下水位埋深4.5m，雨季管沟积水量大，地下水易侵蚀电缆外护层，需做好防水排水；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带电环境：作业沿线多处临近10kV既有带电运行线路，最小安全作业距离不足2m，属于临近带电体高危作业区段；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周边管控：跨市政主干道作业需限时占道施工，沿线临近居民区、学校，施工噪音、夜间停电作业管控严格，施工需报备属地交管、供电调度部门；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气候条件：项目施工周期涵盖雨季、高温大风天气，大风天气严禁架空导线展放，雨季严禁电缆接头露天作业。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2.4 电力工程重难点分析及应对措施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2.4.1 核心施工重难点</w:t>
      </w:r>
      <w:bookmarkEnd w:id="11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重难点1：临近既有带电线路作业，防触电、防线路误触碰管控难度极高，电网跳闸风险大；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重难点2：市政道路段电缆管沟开挖，地下通信、给排水、燃气管线错综复杂，管线破损迁改风险高；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重难点3：高压电缆中间头、终端头制作工艺要求严苛，温湿度环境影响绝缘性能，易出现送电击穿隐患；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重难点4：全网统一停电窗口期固定、时长有限，多班组交叉接驳施工，工序衔接、人员机具统筹难度大；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重难点5：架空线路跨公路、跨通信线缆架设，高空作业、封路防护管控标准高，文明合规施工要求严格。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2.4.2 专项应对保障措施</w:t>
      </w:r>
      <w:bookmarkEnd w:id="12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带电临近作业管控：提前对接供电调度办理作业票、停电工作票，划定硬质绝缘隔离防护区，配备专职国网持证安全员，配备绝缘挡板、绝缘斗臂车，作业前复测带电距离，全员开展带电风险交底；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地下管线防护：开工前联合市政、通信、燃气单位全域雷达探管，标注管线点位，道路段采用人工小型开挖替代机械开挖，预埋管线防护托架，签订管线应急联动协议；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电缆接头质量管控：搭设恒温防尘专用电缆作业棚，持证高压电工专项制作接头，严控剥离尺寸、密封灌注工艺，每段电缆完工后做直流耐压、绝缘电阻双试验，不合格直接返工；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停电窗口期工期保障：提前编制一停多做专项施工方案，分区配置成套施工班组、备用机具、备用电缆耗材，提前预制金具、电缆接头，压缩现场接驳时长，提前完成非停电区段全部前置施工；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跨路段高空防护：跨公路搭设封闭式绝缘防护网，报备交管部门限时半幅封路，大风6级及以上停止杆塔组立、导线展放作业，沿线布设线路警示标识、夜间爆闪警示灯，规避交通安全隐患。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第三章 施工总体部署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3.1 项目管理组织机构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实行项目经理负责制，组建专项电力项目管理部，全员持证上岗，配置项目经理1名、电力专职技术负责人1名、国网持证安全员2名、质量试验专员1名、物资资料员1名、片区施工班组长4名，所有高空电工、高压电工、起重工均持有特种作业操作证、电网准入作业证，分工负责现场调度、安全监护、试验检测、停电对接、资料报审全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3.2 施工分区及流水作业划分</w:t>
      </w:r>
      <w:bookmarkEnd w:id="15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一区：杆塔基础土建施工区，负责全线基坑开挖、钢筋浇筑、养护、接地极预埋；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二区：架空线路作业区，负责杆塔组立、金具安装、导线架设、线路清障；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三区：电缆管沟及设备区，负责管沟砌筑、电缆敷设、箱变环网柜吊装接线、电缆头制作；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四区：试验调试送电区，独立负责绝缘试验、相序核对、系统联动调试、停电接驳、并网送电、竣工消缺。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3.3 施工总体顺序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踏勘报备→占道停电手续办理→场地围挡临电布设→地下管线复核→杆塔/管沟土建施工→接地系统施工→杆塔组立及金具安装→电缆排管敷设→高低压设备就位安装→电缆接驳接头制作→分段电气试验→老旧线路隔离拆除→专项停电接驳调试→全线耐压复检→自检消缺→供电公司验收→并网送电→竣工资料移交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3.4 资源配置计划</w:t>
      </w:r>
      <w:bookmarkEnd w:id="1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3.4.1 劳动力配置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高峰期配置持证高压电工8人、高空作业电工12人、起重操作工3人、土建普工15人、专职安全员2人、试验专员3人，所有人员进场完成电网安全交底、三级安全教育后方可上岗。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3.4.2 机械设备配置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配置绝缘斗臂车、25t汽车吊、电缆牵引机、高压耐压试验仪、接地电阻测试仪、开槽机、绝缘机具全套，所有电力试验设备提前校验备案，满足供电检测标准。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3.4.3 物资材料管控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导线、电缆、杆塔、环网柜、绝缘金具全部选用国网入围品牌，进场附带出厂合格证、型式试验报告，进场取样复检，不合格材料严禁进场使用。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第四章 主要分部分项电力施工工艺</w:t>
      </w:r>
      <w:bookmarkEnd w:id="2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4.1 杆塔基础施工工艺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测量放点→基坑开挖→基底夯实验槽→钢筋绑扎预埋接地扁铁→模板支护→混凝土分层浇筑→养护拆模→基础接地电阻初测→回填分层夯实，软弱基坑采用换填碎石加固，基础外露部位做防腐防渗处理。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4.2 架空配电线路施工工艺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杆塔吊装就位校正→地脚螺栓二次浇筑→横担绝缘子安装→放线挂线→导线紧线调弧→耐张段接驳→线路防震锤安装→沿线树木建筑清障→相间距离复测。临近带电段全程使用绝缘牵引工具，禁止金属机具跨界触碰带电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4.3 电力电缆敷设及接头施工工艺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沟清理除尘→电缆支架安装→电缆牵引敷设（转角限速防护）→电缆排布标识固定→恒温棚内制作高低压电缆头→防水密封灌注→接地编织接驳→分段绝缘试验，直埋电缆上层铺设警示板、标识带，管沟进出口做防水封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4.4 配电设备安装调试工艺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箱变、环网柜基础找平→设备吊装就位固定→柜体接地连通→高低压母线接线→二次控制回路接线→五防闭锁调试→继电保护定值校核→联动模拟试验，设备接地阻值必须小于4Ω，满足电网运行标准。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4.5 停电接驳及并网施工工艺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提前报审停电计划→下达停电指令、验电接地挂牌→旧线路隔离断开→新线路相位核对→接驳接线→拆除临时接地线→现场人员机具撤离→申请逐级送电→全线负荷监测。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7" w:id="27"/>
      <w:r>
        <w:rPr>
          <w:rFonts w:eastAsia="等线" w:ascii="Arial" w:cs="Arial" w:hAnsi="Arial"/>
          <w:b w:val="true"/>
          <w:sz w:val="36"/>
        </w:rPr>
        <w:t>第五章 施工进度保障措施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结合供电调度停电计划编制专项倒排工期，锁定停电接驳关键节点，前置所有预备工序；2、雨天储备室内电缆接头、柜内接线工序，错峰调配作业；3、储备备用电缆、金具、密封耗材，杜绝材料误工；4、专人对接供电、交管部门，加急办理占道、停电、园林清障手续，压缩手续办理周期；5、实行每日站班会，闭环整改工序卡点，保障按期并网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8" w:id="28"/>
      <w:r>
        <w:rPr>
          <w:rFonts w:eastAsia="等线" w:ascii="Arial" w:cs="Arial" w:hAnsi="Arial"/>
          <w:b w:val="true"/>
          <w:sz w:val="36"/>
        </w:rPr>
        <w:t>第六章 电力专项安全施工保障措施</w:t>
      </w:r>
      <w:bookmarkEnd w:id="2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6.1 触电专项防控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严格执行工作票、操作票双票制度，作业前验电、接地、挂牌、装设遮栏，带电区域全绝缘防护，严禁无监护单人电力作业，现场配备应急绝缘救护器材。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6.2 高空及起重作业安全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高空作业全员双安全带挂设，起重作业划定警戒区，专人指挥，吊车远离带电廊道，大风、大雾、雨雪天气停止高空、吊装作业。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6.3 管沟开挖及管线安全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深度超1.5m管沟搭设边坡支护，配备应急抽水泵，开挖发现既有管线立即停工报备，严禁私自切割迁移市政管线。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2" w:id="32"/>
      <w:r>
        <w:rPr>
          <w:rFonts w:eastAsia="等线" w:ascii="Arial" w:cs="Arial" w:hAnsi="Arial"/>
          <w:b w:val="true"/>
          <w:sz w:val="36"/>
        </w:rPr>
        <w:t>第七章 质量管控及并网验收保障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执行电力三检制度：班组自检、项目部复检、监理专检；2、接地电阻、绝缘阻值、耐压试验全程留存影像试验报告；3、电缆接头、杆塔垂直度、导线弧长全数验收；4、资料同步跟进，包含作业票、试验报告、材料合格证、隐蔽工程记录，满足供电公司并网归档要求；5、完工后72小时负荷试运行，排查线路发热、异响隐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3" w:id="33"/>
      <w:r>
        <w:rPr>
          <w:rFonts w:eastAsia="等线" w:ascii="Arial" w:cs="Arial" w:hAnsi="Arial"/>
          <w:b w:val="true"/>
          <w:sz w:val="36"/>
        </w:rPr>
        <w:t>第八章 文明施工、绿色施工及应急方案</w:t>
      </w:r>
      <w:bookmarkEnd w:id="3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8.1 文明施工管控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道路施工全覆盖围挡，渣土密闭清运，夜间22:00后停止噪音电力施工，沿线施工点位设置电力施工警示标识，完工及时恢复路面绿化原貌。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8.2 专项应急处置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触电应急、管线破损应急、电网误跳闸应急、管沟坍塌四项专项预案，联动供电调度、120、交管应急专班，现场常备绝缘急救包、应急发电机、堵漏设备，突发电网异常第一时间停工报备调度，快速恢复既有线路供电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6" w:id="36"/>
      <w:r>
        <w:rPr>
          <w:rFonts w:eastAsia="等线" w:ascii="Arial" w:cs="Arial" w:hAnsi="Arial"/>
          <w:b w:val="true"/>
          <w:sz w:val="36"/>
        </w:rPr>
        <w:t>第九章 雨季、高温专项施工方案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季：管沟提前布设排水集水井，电缆接头禁止露天雨天施工，杆塔基坑做好防雨围挡，防止基坑泡水塌孔；高温：避开正午高温高空作业，电工轮换作业，配备防暑物资，高温时段严控电缆接头温度超标，保障绝缘施工质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7" w:id="37"/>
      <w:r>
        <w:rPr>
          <w:rFonts w:eastAsia="等线" w:ascii="Arial" w:cs="Arial" w:hAnsi="Arial"/>
          <w:b w:val="true"/>
          <w:sz w:val="36"/>
        </w:rPr>
        <w:t>第十章 后期运维、保修及移交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并网完工后提供1年电力免费维保服务，留存施工点位隐蔽图纸、电缆走向台账，质保期内线路故障2小时到场处置，竣工后完整移交竣工图、试验报告、设备说明书、入网资料，配合甲方完成电网资产建档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568277">
    <w:lvl>
      <w:numFmt w:val="bullet"/>
      <w:suff w:val="tab"/>
      <w:lvlText w:val="•"/>
      <w:rPr>
        <w:color w:val="3370ff"/>
      </w:rPr>
    </w:lvl>
  </w:abstractNum>
  <w:abstractNum w:abstractNumId="2568278">
    <w:lvl>
      <w:numFmt w:val="bullet"/>
      <w:suff w:val="tab"/>
      <w:lvlText w:val="•"/>
      <w:rPr>
        <w:color w:val="3370ff"/>
      </w:rPr>
    </w:lvl>
  </w:abstractNum>
  <w:abstractNum w:abstractNumId="2568279">
    <w:lvl>
      <w:numFmt w:val="bullet"/>
      <w:suff w:val="tab"/>
      <w:lvlText w:val="•"/>
      <w:rPr>
        <w:color w:val="3370ff"/>
      </w:rPr>
    </w:lvl>
  </w:abstractNum>
  <w:abstractNum w:abstractNumId="2568280">
    <w:lvl>
      <w:numFmt w:val="bullet"/>
      <w:suff w:val="tab"/>
      <w:lvlText w:val="•"/>
      <w:rPr>
        <w:color w:val="3370ff"/>
      </w:rPr>
    </w:lvl>
  </w:abstractNum>
  <w:abstractNum w:abstractNumId="2568281">
    <w:lvl>
      <w:numFmt w:val="bullet"/>
      <w:suff w:val="tab"/>
      <w:lvlText w:val="•"/>
      <w:rPr>
        <w:color w:val="3370ff"/>
      </w:rPr>
    </w:lvl>
  </w:abstractNum>
  <w:abstractNum w:abstractNumId="2568282">
    <w:lvl>
      <w:numFmt w:val="bullet"/>
      <w:suff w:val="tab"/>
      <w:lvlText w:val="•"/>
      <w:rPr>
        <w:color w:val="3370ff"/>
      </w:rPr>
    </w:lvl>
  </w:abstractNum>
  <w:abstractNum w:abstractNumId="2568283">
    <w:lvl>
      <w:numFmt w:val="bullet"/>
      <w:suff w:val="tab"/>
      <w:lvlText w:val="•"/>
      <w:rPr>
        <w:color w:val="3370ff"/>
      </w:rPr>
    </w:lvl>
  </w:abstractNum>
  <w:abstractNum w:abstractNumId="2568284">
    <w:lvl>
      <w:numFmt w:val="bullet"/>
      <w:suff w:val="tab"/>
      <w:lvlText w:val="•"/>
      <w:rPr>
        <w:color w:val="3370ff"/>
      </w:rPr>
    </w:lvl>
  </w:abstractNum>
  <w:abstractNum w:abstractNumId="2568285">
    <w:lvl>
      <w:numFmt w:val="bullet"/>
      <w:suff w:val="tab"/>
      <w:lvlText w:val="•"/>
      <w:rPr>
        <w:color w:val="3370ff"/>
      </w:rPr>
    </w:lvl>
  </w:abstractNum>
  <w:abstractNum w:abstractNumId="2568286">
    <w:lvl>
      <w:numFmt w:val="bullet"/>
      <w:suff w:val="tab"/>
      <w:lvlText w:val="•"/>
      <w:rPr>
        <w:color w:val="3370ff"/>
      </w:rPr>
    </w:lvl>
  </w:abstractNum>
  <w:abstractNum w:abstractNumId="2568287">
    <w:lvl>
      <w:numFmt w:val="bullet"/>
      <w:suff w:val="tab"/>
      <w:lvlText w:val="•"/>
      <w:rPr>
        <w:color w:val="3370ff"/>
      </w:rPr>
    </w:lvl>
  </w:abstractNum>
  <w:abstractNum w:abstractNumId="2568288">
    <w:lvl>
      <w:numFmt w:val="bullet"/>
      <w:suff w:val="tab"/>
      <w:lvlText w:val="•"/>
      <w:rPr>
        <w:color w:val="3370ff"/>
      </w:rPr>
    </w:lvl>
  </w:abstractNum>
  <w:abstractNum w:abstractNumId="2568289">
    <w:lvl>
      <w:start w:val="1"/>
      <w:numFmt w:val="decimal"/>
      <w:suff w:val="tab"/>
      <w:lvlText w:val="%1."/>
      <w:rPr>
        <w:color w:val="3370ff"/>
      </w:rPr>
    </w:lvl>
  </w:abstractNum>
  <w:abstractNum w:abstractNumId="2568290">
    <w:lvl>
      <w:start w:val="2"/>
      <w:numFmt w:val="decimal"/>
      <w:suff w:val="tab"/>
      <w:lvlText w:val="%1."/>
      <w:rPr>
        <w:color w:val="3370ff"/>
      </w:rPr>
    </w:lvl>
  </w:abstractNum>
  <w:abstractNum w:abstractNumId="2568291">
    <w:lvl>
      <w:start w:val="3"/>
      <w:numFmt w:val="decimal"/>
      <w:suff w:val="tab"/>
      <w:lvlText w:val="%1."/>
      <w:rPr>
        <w:color w:val="3370ff"/>
      </w:rPr>
    </w:lvl>
  </w:abstractNum>
  <w:abstractNum w:abstractNumId="2568292">
    <w:lvl>
      <w:start w:val="4"/>
      <w:numFmt w:val="decimal"/>
      <w:suff w:val="tab"/>
      <w:lvlText w:val="%1."/>
      <w:rPr>
        <w:color w:val="3370ff"/>
      </w:rPr>
    </w:lvl>
  </w:abstractNum>
  <w:abstractNum w:abstractNumId="2568293">
    <w:lvl>
      <w:start w:val="5"/>
      <w:numFmt w:val="decimal"/>
      <w:suff w:val="tab"/>
      <w:lvlText w:val="%1."/>
      <w:rPr>
        <w:color w:val="3370ff"/>
      </w:rPr>
    </w:lvl>
  </w:abstractNum>
  <w:abstractNum w:abstractNumId="2568294">
    <w:lvl>
      <w:start w:val="1"/>
      <w:numFmt w:val="decimal"/>
      <w:suff w:val="tab"/>
      <w:lvlText w:val="%1."/>
      <w:rPr>
        <w:color w:val="3370ff"/>
      </w:rPr>
    </w:lvl>
  </w:abstractNum>
  <w:abstractNum w:abstractNumId="2568295">
    <w:lvl>
      <w:start w:val="2"/>
      <w:numFmt w:val="decimal"/>
      <w:suff w:val="tab"/>
      <w:lvlText w:val="%1."/>
      <w:rPr>
        <w:color w:val="3370ff"/>
      </w:rPr>
    </w:lvl>
  </w:abstractNum>
  <w:abstractNum w:abstractNumId="2568296">
    <w:lvl>
      <w:start w:val="3"/>
      <w:numFmt w:val="decimal"/>
      <w:suff w:val="tab"/>
      <w:lvlText w:val="%1."/>
      <w:rPr>
        <w:color w:val="3370ff"/>
      </w:rPr>
    </w:lvl>
  </w:abstractNum>
  <w:abstractNum w:abstractNumId="2568297">
    <w:lvl>
      <w:start w:val="4"/>
      <w:numFmt w:val="decimal"/>
      <w:suff w:val="tab"/>
      <w:lvlText w:val="%1."/>
      <w:rPr>
        <w:color w:val="3370ff"/>
      </w:rPr>
    </w:lvl>
  </w:abstractNum>
  <w:abstractNum w:abstractNumId="2568298">
    <w:lvl>
      <w:start w:val="5"/>
      <w:numFmt w:val="decimal"/>
      <w:suff w:val="tab"/>
      <w:lvlText w:val="%1."/>
      <w:rPr>
        <w:color w:val="3370ff"/>
      </w:rPr>
    </w:lvl>
  </w:abstractNum>
  <w:abstractNum w:abstractNumId="2568299">
    <w:lvl>
      <w:start w:val="1"/>
      <w:numFmt w:val="decimal"/>
      <w:suff w:val="tab"/>
      <w:lvlText w:val="%1."/>
      <w:rPr>
        <w:color w:val="3370ff"/>
      </w:rPr>
    </w:lvl>
  </w:abstractNum>
  <w:abstractNum w:abstractNumId="2568300">
    <w:lvl>
      <w:start w:val="2"/>
      <w:numFmt w:val="decimal"/>
      <w:suff w:val="tab"/>
      <w:lvlText w:val="%1."/>
      <w:rPr>
        <w:color w:val="3370ff"/>
      </w:rPr>
    </w:lvl>
  </w:abstractNum>
  <w:abstractNum w:abstractNumId="2568301">
    <w:lvl>
      <w:start w:val="3"/>
      <w:numFmt w:val="decimal"/>
      <w:suff w:val="tab"/>
      <w:lvlText w:val="%1."/>
      <w:rPr>
        <w:color w:val="3370ff"/>
      </w:rPr>
    </w:lvl>
  </w:abstractNum>
  <w:abstractNum w:abstractNumId="2568302">
    <w:lvl>
      <w:start w:val="4"/>
      <w:numFmt w:val="decimal"/>
      <w:suff w:val="tab"/>
      <w:lvlText w:val="%1."/>
      <w:rPr>
        <w:color w:val="3370ff"/>
      </w:rPr>
    </w:lvl>
  </w:abstractNum>
  <w:abstractNum w:abstractNumId="2568303">
    <w:lvl>
      <w:start w:val="5"/>
      <w:numFmt w:val="decimal"/>
      <w:suff w:val="tab"/>
      <w:lvlText w:val="%1."/>
      <w:rPr>
        <w:color w:val="3370ff"/>
      </w:rPr>
    </w:lvl>
  </w:abstractNum>
  <w:abstractNum w:abstractNumId="2568304">
    <w:lvl>
      <w:start w:val="1"/>
      <w:numFmt w:val="decimal"/>
      <w:suff w:val="tab"/>
      <w:lvlText w:val="%1."/>
      <w:rPr>
        <w:color w:val="3370ff"/>
      </w:rPr>
    </w:lvl>
  </w:abstractNum>
  <w:abstractNum w:abstractNumId="2568305">
    <w:lvl>
      <w:start w:val="2"/>
      <w:numFmt w:val="decimal"/>
      <w:suff w:val="tab"/>
      <w:lvlText w:val="%1."/>
      <w:rPr>
        <w:color w:val="3370ff"/>
      </w:rPr>
    </w:lvl>
  </w:abstractNum>
  <w:abstractNum w:abstractNumId="2568306">
    <w:lvl>
      <w:start w:val="3"/>
      <w:numFmt w:val="decimal"/>
      <w:suff w:val="tab"/>
      <w:lvlText w:val="%1."/>
      <w:rPr>
        <w:color w:val="3370ff"/>
      </w:rPr>
    </w:lvl>
  </w:abstractNum>
  <w:abstractNum w:abstractNumId="2568307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2568277"/>
  </w:num>
  <w:num w:numId="2">
    <w:abstractNumId w:val="2568278"/>
  </w:num>
  <w:num w:numId="3">
    <w:abstractNumId w:val="2568279"/>
  </w:num>
  <w:num w:numId="4">
    <w:abstractNumId w:val="2568280"/>
  </w:num>
  <w:num w:numId="5">
    <w:abstractNumId w:val="2568281"/>
  </w:num>
  <w:num w:numId="6">
    <w:abstractNumId w:val="2568282"/>
  </w:num>
  <w:num w:numId="7">
    <w:abstractNumId w:val="2568283"/>
  </w:num>
  <w:num w:numId="8">
    <w:abstractNumId w:val="2568284"/>
  </w:num>
  <w:num w:numId="9">
    <w:abstractNumId w:val="2568285"/>
  </w:num>
  <w:num w:numId="10">
    <w:abstractNumId w:val="2568286"/>
  </w:num>
  <w:num w:numId="11">
    <w:abstractNumId w:val="2568287"/>
  </w:num>
  <w:num w:numId="12">
    <w:abstractNumId w:val="2568288"/>
  </w:num>
  <w:num w:numId="13">
    <w:abstractNumId w:val="2568289"/>
  </w:num>
  <w:num w:numId="14">
    <w:abstractNumId w:val="2568290"/>
  </w:num>
  <w:num w:numId="15">
    <w:abstractNumId w:val="2568291"/>
  </w:num>
  <w:num w:numId="16">
    <w:abstractNumId w:val="2568292"/>
  </w:num>
  <w:num w:numId="17">
    <w:abstractNumId w:val="2568293"/>
  </w:num>
  <w:num w:numId="18">
    <w:abstractNumId w:val="2568294"/>
  </w:num>
  <w:num w:numId="19">
    <w:abstractNumId w:val="2568295"/>
  </w:num>
  <w:num w:numId="20">
    <w:abstractNumId w:val="2568296"/>
  </w:num>
  <w:num w:numId="21">
    <w:abstractNumId w:val="2568297"/>
  </w:num>
  <w:num w:numId="22">
    <w:abstractNumId w:val="2568298"/>
  </w:num>
  <w:num w:numId="23">
    <w:abstractNumId w:val="2568299"/>
  </w:num>
  <w:num w:numId="24">
    <w:abstractNumId w:val="2568300"/>
  </w:num>
  <w:num w:numId="25">
    <w:abstractNumId w:val="2568301"/>
  </w:num>
  <w:num w:numId="26">
    <w:abstractNumId w:val="2568302"/>
  </w:num>
  <w:num w:numId="27">
    <w:abstractNumId w:val="2568303"/>
  </w:num>
  <w:num w:numId="28">
    <w:abstractNumId w:val="2568304"/>
  </w:num>
  <w:num w:numId="29">
    <w:abstractNumId w:val="2568305"/>
  </w:num>
  <w:num w:numId="30">
    <w:abstractNumId w:val="2568306"/>
  </w:num>
  <w:num w:numId="31">
    <w:abstractNumId w:val="256830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2026-06-17T09:03:22Z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{"Label":"1","ContentProducer":"001191110102MACQD9K64010000","ProduceID":"7652287392859245541","ReservedCode1":"","ContentPropagator":"","PropagateID":"","ReservedCode2":""}</vt:lpwstr>
  </property>
</Properties>
</file>