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第四章 总体资源配置计划+第五章 项目内外</w:t>
      </w:r>
      <w:r>
        <w:rPr>
          <w:rFonts w:eastAsia="等线" w:ascii="Arial" w:cs="Arial" w:hAnsi="Arial"/>
          <w:b w:val="true"/>
          <w:sz w:val="52"/>
        </w:rPr>
        <w:t>协调管理部署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全面保障本项目施工工期、工程质量、安全生产、文明施工及成本管控全维度达标，严格契合招标文件工期要求、质量标准、属地住建部门管控条例及施工现场闭环管理要求，结合本项目工程规模、施工工艺、场地条件、交叉作业工况、季节性施工特点及重难点施工工序排布，遵循“按需调配、梯度进场、动态管控、冗余备用、合规持证、闭环溯源”六大资源配置原则，统筹人力资源、机械设备、试验检测仪器、交通运输车辆、工程主材、辅材、甲供物资、自购物资全品类施工资源，编制本总体资源配置专项计划。本计划覆盖项目施工准备阶段、地基基础阶段、主体结构阶段、装饰安装阶段、室外配套阶段、竣工验收移交全施工周期，建立资源进场审核、场内排布、使用调度、维保管控、退场复盘全流程管理制度，杜绝资源闲置、人员缺证、机具带病作业、材料断供、材料不合格进场、场内交通拥堵、交叉作业资源冲突等施工隐患，最大化提升资源利用效率，保障项目100%按期履约、合规施工、创优达标。本章共计包含阶段性劳动力及特种作业人员配置、大型机具试验车辆排布、全品类工程材料进场管控三大核心板块，所有配置方案均结合施工现场平面布置图、施工总进度网络图、专项施工方案编制，可根据现场工况动态微调，适配项目全天候施工调度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4.1 阶段性劳动力进场计划、特种作业人员持证配置计划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4.1.1 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本项目施工总进度计划、分项工程专项施工进度网络图、月度施工作业计划；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GB50319-2013《建设工程监理规范》、JGJ59-2011《建筑施工安全检查标准》、住建部特种作业人员管理最新管理规定；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项目施工图纸、工程量清单、专项施工工艺方案、高风险作业专项方案；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属地住建局、应急管理局关于施工现场劳务人员实名制、持证上岗、安全教育培训属地管理要求；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公司劳务分包管理制度、特种作业人员储备台账、劳务人员绩效考核管理办法；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项目场地作业面大小、分区施工排布、夜间施工、雨季高温季节性施工用工需求。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4.1.2 劳动力配置总体原则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梯度进场原则：摒弃一次性全员进场模式，按照施工分区、施工工序、作业面移交进度分阶段、分批次进场，基础施工阶段精简用工、主体高峰足额配工、收尾阶段精简冗余用工，严控劳务人工成本，避免人员窝工闲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2.专业分包定岗原则：土建、机电、装饰、市政配套四大专业劳务班组独立划分，班组负责人一岗一责，交叉作业班组错峰排班，划分早晚两班工作制，适配全天候施工；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3.实名制闭环原则：所有进场劳务人员100%录入属地建筑工地实名制平台，完成人脸录入、工伤保险参保、三级安全教育、岗前技术交底后方可上岗；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4.持证刚性原则：特种作业人员无证严禁上岗、证件过期严禁上岗、证件工种不符严禁上岗，人证合一核验率100%；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5.备用兜底原则：针对钢筋、模板、混凝土、起重四大核心工种，常备15%备用劳务人员，应对人员请假、伤病、离职、工期赶工应急需求；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6.属地适配原则：优先选用长期合作、熟悉属地气候、属地施工管控要求的成熟劳务班组，降低岗前适应周期，提升作业效率。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4.1.3 项目全周期施工阶段划分及用工概况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结合本项目总工期日历天数、施工流水段划分，将项目整体划分为七大施工阶段，各阶段施工内容、作业强度、用工量级差异化划分，精准匹配劳动力进场数量，具体阶段划分如下：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一：施工准备及场地清表阶段（工期12日历天）：场地围挡搭设、临时临水临电布设、场地硬化、临建设施搭建、测量放线、土方清表、场地排水系统施工；作业特点：零散用工、土建普工为主，技术工种少量进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二：土方开挖及地基基础施工阶段（工期38日历天）：基坑开挖、边坡支护、桩基施工、基底整平、垫层浇筑、防水施工、基础钢筋模板施工、基础回填；作业特点：机械化配合用工、起重、桩基、防水特种工种集中进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三：主体结构施工高峰阶段（工期92日历天）：框架柱梁板浇筑、砌体预埋、楼层标高测控、外脚手架搭设、临边防护施工；作业特点：项目用工最高峰，钢筋工、模板工、混凝土工、架子工全员进场，特种作业人员满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阶段四：二次结构及围护施工阶段（工期45日历天）：加气块砌筑、构造柱施工、内墙抹灰、门窗洞口预留、屋面找坡防水施工；作业特点：结构工种减量，砌筑、抹灰、防水工种增量；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阶段五：机电安装预埋及专项施工阶段（工期60日历天，与二次结构穿插施工）：给排水、强弱电、消防、暖通预埋，管道吊装、桥架安装、设备接驳；作业特点：机电专业劳务进场，土建劳务逐步减量；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阶段六：内外装饰及室外配套阶段（工期52日历天）：外墙保温涂料、内墙精装、地坪施工、园区管网、道路铺装、绿化前期土建；作业特点：装饰、市政配套工种为主，结构工种逐步退场；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阶段七：保洁调试及竣工验收阶段（工期18日历天）：成品保洁、机电系统调试、缺陷修补、资料配合、现场整改、场地复原；作业特点：维保修补用工、零星普工为主，大批量劳务有序退场。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4.1.4 阶段性劳动力分批次进场详细计划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劳务用工总计峰值在岗人数226人，全周期累计进场劳务人员312人次，实行两班倒作业制度（白班7:00-19:00，夜班20:00-6:00），高温、雨季时段调整作息规避极端天气，各阶段工种、进场人数、进场时间、退场时间、岗位职责、排班模式详见下表及专项说明，所有劳务班组均由公司合规劳务分包单位派驻，签订劳务用工协议、安全责任书、质量责任书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计划进场日期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计划退场日期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在岗总人数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细分工种及人数配置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核心工作内容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排班模式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用工管控要点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开工第12天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土建普工22人、水电预埋工4人、测量技工3人、临电工2人、后勤安保3人、班组管理员2人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围挡搭设、临建施工、临水临电布设、场地整平、控制点布设、材料临时堆放区搭设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白班单班作业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重点管控临时用电作业人员资质，完成全员进场安全教育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土方地基基础阶段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开工第50天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土方普工38人、桩基技工12人、防水工10人、起重指挥4人、基坑支护工8人、测量4人、维修技工2人、管理后勤10人、备用普工10人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基坑开挖外运、桩基成孔浇筑、边坡锚杆支护、地下室底板防水、基底复检、土方分层回填夯实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主次两班倒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基坑作业人员专项安全交底，夜间基坑作业专人监护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主体结构高峰阶段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开工第48天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开工第140天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226人（项目峰值）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模板木工62人、钢筋工58人、混凝土工26人、架子工18人、砌筑预备工12人、机电预埋14人、起重司机6人、焊工8人、养护普工16人、现场管理12人、应急备用12人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楼层梁板柱施工、脚手架搭设拆除、钢筋下料绑扎、模板支设加固、混凝土浇筑养护、楼层机电预埋、结构垂直度测控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全天候两班倒，浇筑工序通宵作业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高峰用工每日点名核验，交叉作业分区管控，严控高空作业人员状态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二次结构阶段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开工第135天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开工第180天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砌筑工46人、抹灰工32人、防水工12人、修补技工8人、预埋电工16人、杂工24人、管理14人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砌体砌筑、构造柱浇筑、内墙打底抹灰、屋面防水、管线开槽接驳、结构瑕疵修补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白班为主，局部夜班赶工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结构工种分批退场，新增抹灰工种岗前工艺交底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机电安装穿插阶段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开工第120天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开工第210天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136人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消防水工28人、强弱电工32人、暖通技工18人、管道焊工10人、设备安装技工12人、土建配合普工22人、管理14人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消防管道、强弱电桥架、暖通机组安装、管线试压、机房设备就位、穿墙套管封堵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分区错峰作业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机电特种焊工、高压电工专项核验，机电土建工序交接验收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装饰室外配套阶段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开工第175天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开工第232天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外墙保温工22人、涂料工18人、地坪技工14人、管网技工20人、铺装工16人、保洁普工20人、管理8人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内外精装、外墙保温、园区雨污管网、人行道铺装、场地硬化、成品保护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白班标准化作业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装饰人员严控工艺标准，室外工种适配雨季施工防护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竣工验收收尾阶段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开工第230天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竣工移交日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综合修补技工12人、机电调试技工10人、保洁普工16人、现场管理4人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工程缺陷整改、系统联动调试、现场清理、分户核验、迎检整改、物资清点退场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按需弹性作业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留存维保核心技工，其余劳务分批办结退场手续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4.1.5 特种作业人员专项持证配置计划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住建部特种作业目录、本项目高风险作业清单，本项目涉及特种作业共计11大类，所有特种作业人员均由公司人才库统一调配，证件均为住建部、应急管理局核发正规证件，证件有效期、复审日期提前核验，进场前完成人证合一线上核验、项目部线下复核备案，项目部建立《特种作业人员一人一档》，档案包含证件复印件、核验记录、安全教育记录、体检报告、工伤保险凭证、作业交底记录，过期、复审未完成、证件不符人员无条件清退离场。本项目特种作业人员实行固定定岗、不随意轮岗，高峰阶段满配施工，低峰阶段轮岗值守，备用特种人员常驻项目部，随时补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4.1.5.1 特种作业人员持证配置总量及持证要求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常驻特种作业人员46名，备用特种作业人员8名，合计54名，所有人员满足：持证等级适配项目机具规格、证件属地可核验、近一年无安全违章记录、年度体检合格、年满22周岁-55周岁、无高血压恐高症等作业禁忌症，具体持证配置明细如下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建筑施工起重机械司机（塔式起重机、施工升降机）：持证10人，备用2人，证件适配63塔吊、SC200施工升降机，双证兼容，每台起重设备专属司机定岗，严禁跨机作业；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起重信号司索工：持证8人，备用1人，专职负责吊装指挥、吊具检查、吊装区域警戒，红白指挥器具配齐，持证包含司索指挥双资质；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建筑架子工（附着式升降脚手架、落地脚手架）：持证9人，备用1人，分为普通脚手架、附着式脚手架双资质，负责外架搭设、拆除、维保、荷载检测；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建筑电工（高压、低压）：持证6人，备用1人，低压电工负责施工现场临时用电，高压电工负责配电室、机房高压设备接驳，证件区分高低压类别；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熔化焊接与热切割作业焊工：持证7人，备用1人，包含钢结构焊工、管道焊工、防水热熔焊工，适配钢结构焊接、消防管道焊接、防水卷材热熔作业；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建筑施工桩机操作工：持证3人，专项适配本项目旋挖桩基设备，具备桩基成孔、垂直度调控、设备维保资质；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高处作业安装工：持证3人，专项外墙保温、幕墙挂件高处安装作业，具备高空防坠专项资质；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场内机动车驾驶员：持证3人，场内渣土车、叉车、铲车专属驾驶，持有场内特种设备机动车驾驶证，不含社会道路货运资质。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4.1.5.2 分阶段特种作业人员进退场计划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1.准备阶段：仅配置低压电工2人、场内叉车司机1人，满足临电搭设、场内材料转运作业；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2.桩基基础阶段：新增桩机操作工3人、起重司索4人、焊工3人、高低压电工新增2人，满足桩基、基坑支护焊接作业；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3.主体高峰阶段：特种人员全员46人满配进场，塔吊、升降机司机轮班值守，架子工全程跟进脚手架流水施工，为本项目特种用工高峰期；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4.二次结构及机电阶段：起重司机减量4人，新增管道焊工2人、高压电工2人，适配机电管道焊接、机房配电作业；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5.装饰收尾阶段：保留电工2人、焊工2人、起重司机2人维保值守，其余特种人员分批退场，备用人员随时按需调配。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4.1.5.3 特种作业人员持证管控保障措施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，证件溯源管控：项目部专职安全员每日开工前扫码核验特种证件，每月汇总证件复审日期，提前15天安排人员复审，杜绝证件逾期；第二，岗前专项培训：每类特种作业进场前开展专项安全培训，结合项目场地工况、吊装半径、用电负荷定制交底内容；第三，轮岗休息管控：起重、高空特种人员每日作业不超8小时，杜绝疲劳作业；第四，违章追责管控：建立特种作业违章台账，无证上岗、违规作业直接处罚班组，清退涉事人员；第五，应急兜底管控：备用特种人员24小时驻场，遇人员突发离岗、设备加急作业即刻补岗，不耽误施工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4.1.6 劳动力后勤、安全、动态调配保障措施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食宿后勤保障：施工现场封闭式劳务生活区，按需配置宿舍、饮水、洗浴、消防设施，高峰226人在岗期间生活区足额配套物资，统一就餐、统一考勤；2.考勤实名制保障：全工地人脸实名制打卡，考勤数据同步属地监管平台，工资按月专户发放，规避劳务纠纷；3.季节性用工保障：夏季配备防暑物资、调整午间高温休息时长，雨季配备防雨劳保、基坑防滑用具，冬季配备防寒劳保，保障恶劣天气用工稳定；4.动态调控制度：项目部每周召开劳务调度会，根据进度偏差增减用工人数，工序提前完工即刻精简人员，工序滞后即刻启用备用人员赶工；5.劳保全员配发：所有进场人员统一配发安全帽、反光背心、防滑劳保鞋，高空人员专属安全带、护目镜，特种人员专属防护工装，不合格劳保禁止入场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4.2 大型机具、试验仪器、运输车辆进场排布计划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4.2.1 编制依据及配置总体要求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施工总进度计划、施工现场总平面布置图、机具承载力验算报告、工地扬尘运输管控条例、工程质量检测规范、属地渣土运输限行规定编制，机具车辆仪器配置遵循“性能达标、年检合规、分区排布、错峰进场、维保闭环、环保降噪、余量备用、适配工况”原则，所有大型施工机具均提前完成备案、第三方检测、安监备案，试验仪器全部完成计量检定校准，运输车辆全部合规密闭、具备属地通行资质，场内排布规避作业冲突、消防通道、材料运输主干道，划分机具作业区、车辆停放区、仪器检测区、维保检修区四大专属区域，实现机具使用、停放、维保分区隔离，保障场内通行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4.2.2 大型施工机械设备分阶段进场排布计划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大型机具涵盖土方开挖类、桩基施工类、起重吊装类、结构施工类、砌筑装饰类五大类别，总计固定大型机具32台套，备用机具7台套，按照工序前置、场地移交进度分五批次进场，结合平面布置图定点安装、锚固、验收使用，严禁随意挪动布设位置，机具进场流程：进场报备→场内道路转运→定点就位→基础浇筑锚固→第三方检测→安监备案→调试试运行→持证使用→维保退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4.2.2.1 分批次大型机具进场时间表及场内排布位置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批机具（开工1-5天，准备清表专用）：进场机具：50型装载机2台、3吨叉车2台、小型压路机1台、柴油抽水机4台；场内排布：场地西北侧临时机具停放区，紧邻出入口便道，方便场内转运、场地碾压排水；用途：场地清表、临建材料转运、场地硬化碾压、场地雨季排水；退场时间：基础完工后分批留存1台装载机、1台叉车常驻场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批机具（开工12-15天，桩基土方专用）：进场机具：旋挖钻机1台、大型土方挖掘机3台、土方破碎锤1台、土方外运推土机2台；场内排布：基坑东侧作业边界，远离基坑边坡警戒线，预留3米机具操作安全距离，避开地下管线点位；用途：基坑开挖、桩基成孔、硬质土层破碎、基坑土方倒运；退场时间：土方回填完工后整机退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批机具（开工30-35天，主体结构高峰专用，核心批次）：进场机具：QTZ63塔式起重机3台、SC200/200施工升降机2台、混凝土输送地泵2台、钢筋全自动切断机2台、钢筋弯曲机2台、木工圆盘锯3台、模板裁切一体机2台；场内排布：3台塔吊沿建筑楼栋三角锚固布设，覆盖全楼栋吊装范围，无吊装盲区；施工升降机布设建筑南北两侧外立面，接驳施工人行及物料运输；钢筋木工加工机具集中布设场地西南侧封闭式加工棚，远离办公生活区降噪防尘；地泵固定布设地下室出入口硬化地坪位置，接驳场外商混罐车；用途：物料吊装、人员垂直运输、钢筋木工作业、混凝土泵送浇筑；退场时间：主体结构封顶后，塔吊依次降节拆除退场，升降机保留至装饰完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批机具（开工130-135天，二次结构机电专用）：进场机具：砂浆搅拌机3台、穿墙螺杆切割机1台、管道套丝机2台、液压弯管机2台；场内排布：二次结构专属加工区，紧邻砌体材料堆放场；用途：砌筑砂浆拌合、机电管道加工、结构小件切割；退场时间：二次结构完工后整机退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批机具（开工170-175天，室外配套装饰专用）：进场机具：小型沥青摊铺机1台、路面切割机1台、高压清洗机4台；场内排布：室外管网施工便道侧边临时机具区；用途：园区道路铺装切割、地坪施工、外立面清洗保洁；退场时间：竣工验收后统一退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4.2.2.2 备用大型机具配置方案（应急赶工兜底）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应对机具故障、连续阴雨工期滞后、设备维保停工突发情况，项目部联动属地机具租赁公司，签订应急机具供货协议，常备备用机具：备用塔吊1台、备用地泵1台、备用挖掘机1台、备用抽水机3台，承诺4小时内进场就位，无需项目部前期布设场地，按需临时划定作业区域，不占用固定施工排布点位，保障工序不间断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4.2.2.3 大型机具场内排布管控硬性要求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所有大型机具锚固基础均专项设计验算，地坪承载力达标，塔吊周边设置硬质防护围挡及警示标识；2.机具作业半径交叉区域设置专职指挥人员，规避吊装碰撞、机械交叉伤人；3.机具排布永久避让施工现场主消防通道（6米宽主干道全程畅通，不占用机具点位）；4.高噪声机具（破碎锤、圆盘锯）远离办公区、生活区≥25米，加装降噪围挡，合规管控夜间施工噪音；5.油料类机具集中设置防渗加油点位，配套油污收集池，杜绝场地土壤污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4.2.3 试验检测仪器进场排布、检定及使用计划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所有试验仪器分为施工现场自检仪器、第三方送检辅助仪器两大类，全部委托具备计量资质机构检定校准，出具有效期内计量检定证书，仪器专人专管、台账登记、防潮防尘存放，场内划定独立封闭式标准试验养护室（建筑面积42㎡），恒温恒湿设备配套齐全，满足混凝土试块、砂浆试块标准养护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4.2.3.1 全品类试验仪器进场配置清单及进场时间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前期测量核验仪器（开工1天进场，全程使用至竣工）：全站仪2台、水准仪3台、经纬仪1台、激光投线仪6台、回弹标高仪2台；检定用途：场地放线、楼栋定位、楼层标高测控、结构垂直度检测，专人测量班组保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原材料进场自检仪器（开工8天进场）：电子万能试验机1台、砂石含泥量检测仪1套、钢材厚度检测仪2台、游标卡尺全套、防水卷材厚度检测仪1套；用途：钢筋、砂石、防水主材进场现场抽检自检，不合格材料直接拒收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施工过程工艺检测仪器（基础阶段进场）：混凝土回弹仪3台、砂浆回弹仪2台、钢筋保护层检测仪4台、楼板测厚仪2台、压实度环刀检测仪1套、接地电阻测试仪2台；用途：结构强度检测、钢筋位置核验、基坑回填压实度检测、机电接地安全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4.养护及专项试验仪器（开工10天进场）：标准养护恒温恒湿机组2套、试块振捣台2台、试块模具120组、渗水检测仪1套；存放于专属养护室，闭环管理试块制作、养护、送检全流程；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5.竣工验收专项仪器（装饰阶段进场）：门窗气密性检测仪、地坪平整度检测仪、消防水压检测仪器，用于分户验收、专项竣工验收核验。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4.2.3.2 试验仪器场内排布及管护计划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固定排布：恒温养护机组、试验机、砂石检测仪全部固定布设南侧独立试验养护室，设置门禁管控，非试验人员禁止入内；2.流动仪器：水准仪、回弹仪、测厚仪为流动便携仪器，由试验员随身携带作业，每日完工归还仪器库房；3.检定周期：强制类仪器每半年复检校准一次，便携仪器每季度核验精度一次，破损仪器即刻更换；4.台账管理：建立仪器检定台账、使用台账、维保台账，监理单位每周核查仪器有效性，无证未检仪器禁止用于工程检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4.2.4 场内运输车辆、外运车辆进场排布及通行管控计划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4.2.4.1 车辆分类配置及进场数量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结合属地扬尘管控、渣土限行、建材运输管理规定，项目运输车辆分为场内转运车辆、场外外运进料车辆两大品类，所有车辆均密闭改装、喷淋达标、牌照合规、具备工地通行绿码资质：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1.场内专用转运车辆（常驻场内，固定停放）：密闭叉车2台、电动场内转运三轮车6台、洒水抑尘车2台、油污清运车1台；主要负责场内材料短途转运、场地洒水降尘、施工废料清运；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2.场外土方外运车辆（基础阶段专项）：合规密闭渣土运输车12台，错峰夜间外运土方，办理城管外运通行手续；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3.建材进料货运车辆（全周期流动）：商混罐车、钢筋货车、管材货车按需预约进场，不常驻场内，一车一报备准入。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4.2.4.2 车辆场内排布、通行路线规划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1.车辆专属分区：场地西南侧设置密闭车辆停放冲洗区，配套全自动洗车平台、三级沉淀池，所有外出车辆冲洗干净后方可上路；场内车辆非作业时段统一停放洗车区，禁止占道停放；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2.固定通行路线：规划单向循环车行主干道，进料车辆从项目主入口进入，直达材料堆放区，外运渣土车辆专用副入口离场，人车分流，避免行人与货运车辆交汇；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3.时段管控：白天仅允许小型场内车辆通行，大型渣土、建材货车统一夜间20:00-次日6:00预约进场，规避属地日间交通限行，减少场内作业干扰。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4.2.4.3 机具车辆维保、环保、安全保障措施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维保保障：设置小型机具维保点位，专职机修工每日班前检查机具车况、车辆制动、喷淋系统，每周集中维保，建立维保台账；2.环保保障：所有燃油机具加装尾气净化装置，运输车辆全覆盖密闭，场内定时洒水，满足属地扬尘六个百分百要求；3.安全保障：车行路口设置减速带、反光警示标识，专人车辆指挥，场内限速5km/h，严禁超速、倒车无人监护；4.退场管控：机具完工后有序拆解、消杀、清运，车辆完工核验车况、冲洗场地，做到工完场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4.3 主材、辅材、甲供材、自购材进场管控计划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4.3.1 材料管控总则及分类界定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招标文件材料划分条款、施工合同物资权责划分，本项目工程物资四类界定如下：第一类工程主材：构成工程实体、造价占比高、影响核心质量物资，包含钢筋、商品混凝土、加气砌块、防水卷材、外墙保温板、门窗型材、消防主管、强弱电线缆；第二类工程辅材：配套辅助施工、消耗类低值物资，包含绑扎铁丝、密封胶、穿墙套管、焊条、水泥添加剂、劳保耗材、切割片、管线卡扣；第三类甲供材：建设单位统一采购、定价、配送、质保的专项物资，包含品牌配电箱、暖通主机、电梯整机、市政专用井盖、智能安防设备；第四类自购材：施工单位自主比价采购、自主议价、自主履约结算物资，包含砂石骨料、砌筑水泥、周转方木、模板、地坪涂料、临时水电管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进场总体管控原则：计划前置、样板先行、送检前置、分区堆放、限量进场、闭环溯源、专款采购、合规验收、库存管控、雨季防潮，杜绝材料超量进场积压资金、材料不足断供误工、不合格材料使用、甲供材交接破损丢失、周转材随意损耗五大问题，全周期执行“申报-审批-采购-进场-验收-送检-入库-领用-核销-复盘”十步物资管控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4.3.2 全周期材料进场时序总体排布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匹配七大施工工序，实行材料前置7天预约进场制度，核心主材前置15天完成资质报备、样板报审、厂家考察，错峰进料避免出入口拥堵，时序排布：准备阶段临建辅材先行进场→基础阶段防水、桩基主材分批进场→主体阶段钢筋、商混大批量梯度进场→二次结构砌块、砂浆主材跟进进场→机电阶段线缆、管道、甲供机电设备分批交接进场→装饰阶段保温、涂料主材进场→配套阶段管网铺装材料进场→收尾阶段修补辅材零星进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4.3.3 四类材料专项进场计划及场内堆放排布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4.3.3.1 工程主材进场计划、验收、堆放管控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材为项目质量核心管控物资，实行“厂家定点、批次限量、随车资料、见证取样”进场模式，大批量主材分批次进场，禁止一次性囤货场内堆放，场内划分硬化密闭主材专属堆放区，分区隔离、标识挂牌、离地防潮堆放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主材：合作本地合规钢厂，分6批次梯度进场，基础钢筋开工15天首批进场，主体楼层钢筋按流水段每12天一批次进场；进场要求：随车提供出厂合格证、力学性能报告、炉号清单，进场后监理见证取样送检，复检合格方可下料使用；场内堆放：场地东侧钢筋专用硬化堆场，搭设防雨棚，钢筋分类型号离地30cm架空堆放，挂牌标注规格、检测状态；余量管控：常备单流水段10%备用钢筋，应对设计变更加急用料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商品混凝土主材：签约属地合规商混站，具备绿色建材资质，全天候预约按需泵送进场，无场内库存，随用随送；管控要点：开盘鉴定随车报送，核对坍落度、标号、抗渗等级，雨季调整外加剂配比，不合格商混当场原路退回，严禁场内卸料滞留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防水、保温主材：开工20天首批底板防水进场，主体封顶屋面防水、外墙保温分批进场；进场前置样板报验，阻燃等级、厚度合规核验，防水材料密闭库房恒温存放，远离动火作业区，防火专项管控。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砌筑及机电主材：加气砌块进场后静置7天方可上墙使用，规避收缩开裂；线缆、管材按机电分区分批进场，分类编号存放，杜绝不同规格线缆混用。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4.3.3.2 工程辅材进场及消耗管控计划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辅材为消耗性物资，实行月度申报、周度补货、零星库存管控模式，由各班组每周申报辅材用量，物资部审核消耗量后统一采购，场内设置封闭式辅材库房，专人上锁管理，领用登记核销，严控浪费损耗。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临建安全辅材：开工3天一次性全额进场，包含安全网、扣件、铁丝、临电线管，保障前期临建防护施工；2.结构施工辅材：焊条、脱模剂、止水螺杆、养护薄膜按钢筋批次同步配套进场，损耗率管控定额3%以内；3.机电装饰辅材：卡扣、密封胶、接线端子按需零星补货，库房常备3日用量库存；4.低值劳保辅材：反光背心、安全帽、防护手套按月全员配发，破损以旧换新；损耗管控：项目部核定各分项辅材损耗定额，超损耗由班组承担耗材成本，节约耗材给予班组绩效奖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4.3.3.3 甲供材专项交接、进场、保管管控计划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针对建设单位供应物资，建立对接专班，设置专属甲供材台账，前置对接、到场共管、破损追责、分区专属保管，规避交接纠纷，具体全流程管控：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1.前置对接：开工7日内物资部对接建设单位物资专员，提交甲供材进场工期计划表、规格参数清单、场地堆放条件，同步告知甲方运输限行、进场时间要求；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2.进场验收：甲供材到场后，建设单位、监理、施工项目部三方联合开箱验收，核对品牌、型号、数量、质保书、出厂编码，外观破损、规格不符当场签字拒收，留存影像验收资料；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3.场内保管：甲供机电设备、弱电智能设备存入专属防潮密闭库房，电梯配件分区分类打包存放，安排专人24小时值守看护，独立门禁管理，禁止随意挪用；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4.领用安装：甲供材实行专项领用签字制度，仅用于合同约定施工部位，严禁挪用至其他区域，安装剩余边角料、余料统一交还建设单位核销；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5.工期联动：提前10日提醒甲方备货，若甲供材滞后进场影响工期，即刻书面签证留存工期顺延资料，同步调整施工工序，减少窝工损失。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4.3.3.4 施工单位自购材采购、进场、成本管控计划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自购材实行三方比价、合规集采、资质准入、限价采购制度，公司集采平台入库供应商优先合作，杜绝三无产品采购进场，兼顾质量与成本：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周转类自购材（模板、方木、钢管）：开工10天一次性足量进场，适配主体流水施工，选用国标加厚周转材，可二次周转复用，完工后清点维保退场，二次项目复用降本；场内搭设周转材专属堆放棚，分类堆放，扣件打包入库，减少丢失损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2.砂石水泥自购材：就近合规料场采购，按需每日进料，露天硬化堆场堆放，围挡隔离，雨天全覆盖防雨布，控制含泥量指标，进场自检合格后方可卸料；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3.装饰配套自购涂料、地坪材料：品牌报备监理甲方同意后采购，密闭库房避光存放，保质期前置核验，过期材料直接退货，禁止调配使用过期化工建材。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4.3.4 材料进场全流程闭环管控管理制度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4.3.4.1 进场报审制度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所有四类材料进场前48小时，物资部报送材料资质、厂家资料、检测报告至监理、建设单位报审，主材必须报送样板，样板确认封存后方可批量进场，无报审手续材料禁止驶入施工现场出入口。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4.3.4.2 出入口准入核验制度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施工现场出入口设置物资核验岗，专人值守，核对材料批次、数量、资料，主材随车资料不全、外观质量不合格直接原路退回，不予进场；运输车辆冲洗达标方可进场卸料。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4.3.4.3 见证取样送检制度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钢筋、防水、线缆、砌块、水泥等国标强制送检主材，每批次监理现场见证取样，送至属地第三方检测机构检测，未取得复检合格报告，严禁投入实体施工，不合格材料24小时内清运离场，留存退场影像记录。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4.3.4.4 库存及领用溯源制度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电子化物资台账，做到每一批次材料进场可查、领用可溯、结余可核；班组以施工部位领料，专项材料专用，跨部位领用需项目技术部审批；雨季、高温天气定期盘点库房材料，做好防潮、防晒、防火养护，降低材料变质损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4.3.4.5 应急材料保供制度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突发工期赶工、材料厂家供货滞后、极端天气交通停运风险，项目部锁定2家备用主材供应商，签订应急保供协议，核心钢筋、防水、水泥物资48小时应急补供；场内常备应急堵漏、抢修、防汛专用主材辅材库存，应对基坑防汛、结构抢修突发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4.3.5 季节性材料专项管控措施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雨季施工材料管控：砂石料抬高堆放、全覆盖防雨，水泥、外加剂全密闭库房存放，防水卷材禁止露天淋雨，雨后主材复工前二次核验含水率，达标方可使用；2.高温夏季材料管控：化工涂料、密封胶库房恒温通风，避免高温变质，商混优化初凝时间，进场即刻浇筑，减少罐车场内滞留时间；3.冬季低温材料管控：防冻外加剂专项备货，砌筑材料提前除湿，进场建材规避霜冻结块，保障冬期施工材料性能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4.3.6 资源配置联动协同保障机制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打通人员、机具、材料三大资源协同壁垒，项目部建立每日资源调度晨会机制：劳务班组上报次日用工需求、机具班组上报次日设备排班、物资部上报次日材料进场计划，三方统筹匹配，杜绝“人到机具不到、机具到材料不到”脱节问题；项目总工牵头动态优化资源计划，遇设计变更、工序调整，24小时内修订劳动力、机具、材料进场方案，保障全项目资源高效适配，全方位履约工期、质量、安全三大投标目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9" w:id="39"/>
      <w:r>
        <w:rPr>
          <w:rFonts w:eastAsia="等线" w:ascii="Arial" w:cs="Arial" w:hAnsi="Arial"/>
          <w:b w:val="true"/>
          <w:sz w:val="36"/>
        </w:rPr>
        <w:t>第五章 项目内外协调管理部署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全面破解本项目多方主体对接、属地行政监管、多专业交叉施工、多方权责衔接、现场矛盾纠纷、外部施工阻工、行政审批卡点、管线停电停工等各类施工痛点，筑牢项目内外双向协调管控体系，贴合属地工程建设管理条例、施工合同履约条款、监理管控规程，结合本项目施工周期长、外部管线繁杂、室外配套作业面广、土建机电装饰多班组同步施工、多方单位联动密集的施工特点，构建“对内闭环管控、对外分级对接、权责定岗到人、流程标准化、纠纷前置化解、台账全程留痕”一体化协调管理体系。本章围绕四方参建主体对接、属地职能部门联动、场内多班组交叉协同三大核心维度，制定标准化对接流程、分级协调机制、应急处置方案、考核追责制度、资料归档规范，全面规避对接滞后、审批延误、施工阻工、工序冲突、权责推诿、停工误工、验收卡点等风险，保障项目全周期工序顺畅推进、手续合规齐全、多方沟通高效，保障工期、安全、质量、文明施工全方位达标，本章全章节合计字数20026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5.0 协调管理总体编制依据、管控原则及组织架构</w:t>
      </w:r>
      <w:bookmarkEnd w:id="4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5.0.1 编制依据</w:t>
      </w:r>
      <w:bookmarkEnd w:id="41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本项目建设工程施工合同、监理合同、设计委托协议、电力运维管线管护协议；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《建设工程项目管理规范》GB/T50326-2019、《建设工程施工现场协调管理导则》、属地住建、城管、路政、村委属地管理文件；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项目施工总进度计划、分区流水施工方案、室外管网及电力接驳专项施工方案、交叉作业安全专项方案；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业主、监理、设计、电力运维四方既往对接管理制度、属地工程施工行政审批办事流程；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公司《对外外联协调管理制度》《场内班组协同管理办法》《施工纠纷应急处置预案》；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项目场地周边权属边界、市政道路权属、电力管线权属、村居土地权属勘测资料。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5.0.2 全域协调管控六大原则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分级归口原则：对外外联专人归口、对内管理分区归口，杜绝多头对接、重复沟通、权责混乱；2.前置预判原则：施工工序、场地占用、管线开挖、道路占用、夜间施工全部提前沟通报备，事后处置改为前置预判；3.合规留痕原则：所有对接事项、协调结果、整改要求、会议决议全部书面、微信、会议纪要留痕，归档可溯源；4.互利共赢原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53088">
    <w:lvl>
      <w:start w:val="1"/>
      <w:numFmt w:val="decimal"/>
      <w:suff w:val="tab"/>
      <w:lvlText w:val="%1."/>
      <w:rPr>
        <w:color w:val="3370ff"/>
      </w:rPr>
    </w:lvl>
  </w:abstractNum>
  <w:abstractNum w:abstractNumId="2153089">
    <w:lvl>
      <w:start w:val="2"/>
      <w:numFmt w:val="decimal"/>
      <w:suff w:val="tab"/>
      <w:lvlText w:val="%1."/>
      <w:rPr>
        <w:color w:val="3370ff"/>
      </w:rPr>
    </w:lvl>
  </w:abstractNum>
  <w:abstractNum w:abstractNumId="2153090">
    <w:lvl>
      <w:start w:val="3"/>
      <w:numFmt w:val="decimal"/>
      <w:suff w:val="tab"/>
      <w:lvlText w:val="%1."/>
      <w:rPr>
        <w:color w:val="3370ff"/>
      </w:rPr>
    </w:lvl>
  </w:abstractNum>
  <w:abstractNum w:abstractNumId="2153091">
    <w:lvl>
      <w:start w:val="4"/>
      <w:numFmt w:val="decimal"/>
      <w:suff w:val="tab"/>
      <w:lvlText w:val="%1."/>
      <w:rPr>
        <w:color w:val="3370ff"/>
      </w:rPr>
    </w:lvl>
  </w:abstractNum>
  <w:abstractNum w:abstractNumId="2153092">
    <w:lvl>
      <w:start w:val="5"/>
      <w:numFmt w:val="decimal"/>
      <w:suff w:val="tab"/>
      <w:lvlText w:val="%1."/>
      <w:rPr>
        <w:color w:val="3370ff"/>
      </w:rPr>
    </w:lvl>
  </w:abstractNum>
  <w:abstractNum w:abstractNumId="2153093">
    <w:lvl>
      <w:start w:val="6"/>
      <w:numFmt w:val="decimal"/>
      <w:suff w:val="tab"/>
      <w:lvlText w:val="%1."/>
      <w:rPr>
        <w:color w:val="3370ff"/>
      </w:rPr>
    </w:lvl>
  </w:abstractNum>
  <w:abstractNum w:abstractNumId="2153094">
    <w:lvl>
      <w:start w:val="1"/>
      <w:numFmt w:val="decimal"/>
      <w:suff w:val="tab"/>
      <w:lvlText w:val="%1."/>
      <w:rPr>
        <w:color w:val="3370ff"/>
      </w:rPr>
    </w:lvl>
  </w:abstractNum>
  <w:abstractNum w:abstractNumId="2153095">
    <w:lvl>
      <w:start w:val="2"/>
      <w:numFmt w:val="decimal"/>
      <w:suff w:val="tab"/>
      <w:lvlText w:val="%1."/>
      <w:rPr>
        <w:color w:val="3370ff"/>
      </w:rPr>
    </w:lvl>
  </w:abstractNum>
  <w:abstractNum w:abstractNumId="2153096">
    <w:lvl>
      <w:start w:val="3"/>
      <w:numFmt w:val="decimal"/>
      <w:suff w:val="tab"/>
      <w:lvlText w:val="%1."/>
      <w:rPr>
        <w:color w:val="3370ff"/>
      </w:rPr>
    </w:lvl>
  </w:abstractNum>
  <w:abstractNum w:abstractNumId="2153097">
    <w:lvl>
      <w:start w:val="4"/>
      <w:numFmt w:val="decimal"/>
      <w:suff w:val="tab"/>
      <w:lvlText w:val="%1."/>
      <w:rPr>
        <w:color w:val="3370ff"/>
      </w:rPr>
    </w:lvl>
  </w:abstractNum>
  <w:abstractNum w:abstractNumId="2153098">
    <w:lvl>
      <w:start w:val="5"/>
      <w:numFmt w:val="decimal"/>
      <w:suff w:val="tab"/>
      <w:lvlText w:val="%1."/>
      <w:rPr>
        <w:color w:val="3370ff"/>
      </w:rPr>
    </w:lvl>
  </w:abstractNum>
  <w:abstractNum w:abstractNumId="2153099">
    <w:lvl>
      <w:start w:val="6"/>
      <w:numFmt w:val="decimal"/>
      <w:suff w:val="tab"/>
      <w:lvlText w:val="%1."/>
      <w:rPr>
        <w:color w:val="3370ff"/>
      </w:rPr>
    </w:lvl>
  </w:abstractNum>
  <w:abstractNum w:abstractNumId="2153100">
    <w:lvl>
      <w:start w:val="7"/>
      <w:numFmt w:val="decimal"/>
      <w:suff w:val="tab"/>
      <w:lvlText w:val="%1."/>
      <w:rPr>
        <w:color w:val="3370ff"/>
      </w:rPr>
    </w:lvl>
  </w:abstractNum>
  <w:abstractNum w:abstractNumId="2153101">
    <w:lvl>
      <w:start w:val="8"/>
      <w:numFmt w:val="decimal"/>
      <w:suff w:val="tab"/>
      <w:lvlText w:val="%1."/>
      <w:rPr>
        <w:color w:val="3370ff"/>
      </w:rPr>
    </w:lvl>
  </w:abstractNum>
  <w:abstractNum w:abstractNumId="2153102">
    <w:lvl>
      <w:start w:val="1"/>
      <w:numFmt w:val="decimal"/>
      <w:suff w:val="tab"/>
      <w:lvlText w:val="%1."/>
      <w:rPr>
        <w:color w:val="3370ff"/>
      </w:rPr>
    </w:lvl>
  </w:abstractNum>
  <w:abstractNum w:abstractNumId="2153103">
    <w:lvl>
      <w:start w:val="2"/>
      <w:numFmt w:val="decimal"/>
      <w:suff w:val="tab"/>
      <w:lvlText w:val="%1."/>
      <w:rPr>
        <w:color w:val="3370ff"/>
      </w:rPr>
    </w:lvl>
  </w:abstractNum>
  <w:abstractNum w:abstractNumId="2153104">
    <w:lvl>
      <w:start w:val="3"/>
      <w:numFmt w:val="decimal"/>
      <w:suff w:val="tab"/>
      <w:lvlText w:val="%1."/>
      <w:rPr>
        <w:color w:val="3370ff"/>
      </w:rPr>
    </w:lvl>
  </w:abstractNum>
  <w:abstractNum w:abstractNumId="2153105">
    <w:lvl>
      <w:start w:val="4"/>
      <w:numFmt w:val="decimal"/>
      <w:suff w:val="tab"/>
      <w:lvlText w:val="%1."/>
      <w:rPr>
        <w:color w:val="3370ff"/>
      </w:rPr>
    </w:lvl>
  </w:abstractNum>
  <w:abstractNum w:abstractNumId="2153106">
    <w:lvl>
      <w:start w:val="1"/>
      <w:numFmt w:val="decimal"/>
      <w:suff w:val="tab"/>
      <w:lvlText w:val="%1."/>
      <w:rPr>
        <w:color w:val="3370ff"/>
      </w:rPr>
    </w:lvl>
  </w:abstractNum>
  <w:abstractNum w:abstractNumId="2153107">
    <w:lvl>
      <w:start w:val="2"/>
      <w:numFmt w:val="decimal"/>
      <w:suff w:val="tab"/>
      <w:lvlText w:val="%1."/>
      <w:rPr>
        <w:color w:val="3370ff"/>
      </w:rPr>
    </w:lvl>
  </w:abstractNum>
  <w:abstractNum w:abstractNumId="2153108">
    <w:lvl>
      <w:start w:val="3"/>
      <w:numFmt w:val="decimal"/>
      <w:suff w:val="tab"/>
      <w:lvlText w:val="%1."/>
      <w:rPr>
        <w:color w:val="3370ff"/>
      </w:rPr>
    </w:lvl>
  </w:abstractNum>
  <w:abstractNum w:abstractNumId="2153109">
    <w:lvl>
      <w:start w:val="4"/>
      <w:numFmt w:val="decimal"/>
      <w:suff w:val="tab"/>
      <w:lvlText w:val="%1."/>
      <w:rPr>
        <w:color w:val="3370ff"/>
      </w:rPr>
    </w:lvl>
  </w:abstractNum>
  <w:abstractNum w:abstractNumId="2153110">
    <w:lvl>
      <w:start w:val="5"/>
      <w:numFmt w:val="decimal"/>
      <w:suff w:val="tab"/>
      <w:lvlText w:val="%1."/>
      <w:rPr>
        <w:color w:val="3370ff"/>
      </w:rPr>
    </w:lvl>
  </w:abstractNum>
  <w:abstractNum w:abstractNumId="2153111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2153088"/>
  </w:num>
  <w:num w:numId="2">
    <w:abstractNumId w:val="2153089"/>
  </w:num>
  <w:num w:numId="3">
    <w:abstractNumId w:val="2153090"/>
  </w:num>
  <w:num w:numId="4">
    <w:abstractNumId w:val="2153091"/>
  </w:num>
  <w:num w:numId="5">
    <w:abstractNumId w:val="2153092"/>
  </w:num>
  <w:num w:numId="6">
    <w:abstractNumId w:val="2153093"/>
  </w:num>
  <w:num w:numId="7">
    <w:abstractNumId w:val="2153094"/>
  </w:num>
  <w:num w:numId="8">
    <w:abstractNumId w:val="2153095"/>
  </w:num>
  <w:num w:numId="9">
    <w:abstractNumId w:val="2153096"/>
  </w:num>
  <w:num w:numId="10">
    <w:abstractNumId w:val="2153097"/>
  </w:num>
  <w:num w:numId="11">
    <w:abstractNumId w:val="2153098"/>
  </w:num>
  <w:num w:numId="12">
    <w:abstractNumId w:val="2153099"/>
  </w:num>
  <w:num w:numId="13">
    <w:abstractNumId w:val="2153100"/>
  </w:num>
  <w:num w:numId="14">
    <w:abstractNumId w:val="2153101"/>
  </w:num>
  <w:num w:numId="15">
    <w:abstractNumId w:val="2153102"/>
  </w:num>
  <w:num w:numId="16">
    <w:abstractNumId w:val="2153103"/>
  </w:num>
  <w:num w:numId="17">
    <w:abstractNumId w:val="2153104"/>
  </w:num>
  <w:num w:numId="18">
    <w:abstractNumId w:val="2153105"/>
  </w:num>
  <w:num w:numId="19">
    <w:abstractNumId w:val="2153106"/>
  </w:num>
  <w:num w:numId="20">
    <w:abstractNumId w:val="2153107"/>
  </w:num>
  <w:num w:numId="21">
    <w:abstractNumId w:val="2153108"/>
  </w:num>
  <w:num w:numId="22">
    <w:abstractNumId w:val="2153109"/>
  </w:num>
  <w:num w:numId="23">
    <w:abstractNumId w:val="2153110"/>
  </w:num>
  <w:num w:numId="24">
    <w:abstractNumId w:val="215311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2026-06-18T02:53:45Z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{"Label":"1","ContentProducer":"001191110102MACQD9K64010000","ProduceID":"7652563224538549223","ReservedCode1":"","ContentPropagator":"","PropagateID":"","ReservedCode2":""}</vt:lpwstr>
  </property>
</Properties>
</file>