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电力建设项目投标专用通用安全专项方案合集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投标前置编制总论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一、投标编制说明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本全套安全专项方案为</w:t>
      </w:r>
      <w:r>
        <w:rPr>
          <w:rFonts w:eastAsia="等线" w:ascii="Arial" w:cs="Arial" w:hAnsi="Arial"/>
          <w:b w:val="true"/>
          <w:sz w:val="22"/>
        </w:rPr>
        <w:t>投标专用精装版本</w:t>
      </w:r>
      <w:r>
        <w:rPr>
          <w:rFonts w:eastAsia="等线" w:ascii="Arial" w:cs="Arial" w:hAnsi="Arial"/>
          <w:sz w:val="22"/>
        </w:rPr>
        <w:t>，适配10kV-220kV新建变电站、线路迁改、电缆敷设、配电改造、市政电力配套、园区电力总承包全品类招投标项目，完全契合招标人招标文件安全管理条款、国网外包施工安全准入标准、住建安监、属地交管消防评标硬性评分要求，可直接嵌入投标技术标安全章节，无需二次大幅改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方案编制对标招标人安全创优目标，以零重伤、零火灾、零触电、零有限空间伤亡、零占道交通事故、零环保安全投诉为核心履约指标，兼顾合规报审、过程管控、创优加分、事故兜底、履约追责五大投标核心要求，全套方案体系闭环、权责清晰、措施量化、资料齐全，满足评标专家资料完整性、管控精细化、履约保障性打分细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投标合规编制依据：《中华人民共和国安全生产法2021修订版》《建设工程安全生产管理条例》《施工现场临时用电安全技术规范JGJ46-2024》《电力建设安全工作规程 第1/2部分》《有限空间作业安全规程AQ3028-2022》《高处作业分级GB/T3608-2008》《建筑施工现场消防安全技术规范》、招标人项目招标文件专用安全条款、属地应急管理局电力施工管控导则、供电公司外协单位安全履约管理办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二、投标安全履约承诺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投标承诺：项目全过程严格落实本合集全部专项管控要求，配齐专职安全管理团队、足额拨付安全专项经费、配齐全套高端安全防护物资，落实全员持证上岗、全工序方案先行、全风险闭环管控；自愿接受业主、监理、运维、属地四方全过程安全监管，若违反安全管控条款，自愿按照招标文件履约条款承担违约责任、接受履约保证金扣罚、承担全部安全事故经济及法律责任，全力争创项目标准化工地、安全文明示范工地。</w:t>
      </w:r>
      <w:r>
        <w:rPr>
          <w:rFonts w:eastAsia="等线" w:ascii="Arial" w:cs="Arial" w:hAnsi="Arial"/>
          <w:b w:val="true"/>
          <w:sz w:val="22"/>
        </w:rPr>
        <w:t>同类履约案例佐证</w:t>
      </w:r>
      <w:r>
        <w:rPr>
          <w:rFonts w:eastAsia="等线" w:ascii="Arial" w:cs="Arial" w:hAnsi="Arial"/>
          <w:sz w:val="22"/>
        </w:rPr>
        <w:t>：近三年我方承建XX市220kV产业园变电站新建工程、城区10kV电缆全域迁改工程，全过程执行本套安全管控体系，项目获评市级安全文明标准化工地，实现施工全周期零安全事故、零安监处罚、零业主安全投诉，安全履约考评优秀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" w:id="3"/>
      <w:r>
        <w:rPr>
          <w:rFonts w:eastAsia="等线" w:ascii="Arial" w:cs="Arial" w:hAnsi="Arial"/>
          <w:b w:val="true"/>
          <w:sz w:val="36"/>
        </w:rPr>
        <w:t>专项一 安全生产总体管理方案（投标创优版）</w:t>
      </w:r>
      <w:bookmarkEnd w:id="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一、投标适用范围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为本项目全周期纲领性安全管理文件，覆盖项目施工筹备、土建基础、电气安装、设备调试、竣工验收、成品保护、退场清运全施工链条；覆盖场内作业区、场外线路迁改点位、地下密闭作业区、临近带电运维区、市政占道施工区全域作业场景；覆盖项目管理人员、专业技术人员、持证特种作业人员、自有劳务班组、外协分包作业人员、场外机具司机全部进场人员，构建标准化、制度化、可溯源、可创优一体化全域安全生产管理体系，保障项目全过程合规履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二、投标核心安全管控体系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（一）标准化层级安全管理体系搭建</w:t>
      </w:r>
      <w:bookmarkEnd w:id="6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建投标备案三级垂直安全管理架构：项目经理为项目安全生产第一履约责任人，全权统筹项目安全专项资金拨付、安全人员配置、大型机具安全调配、对外安全对接工作；项目技术负责人、注册专职安全员为二级管控责任人，专项负责专项方案编审、全员安全交底、特种证件核验、现场旁站监管、安全资料归档创优；班组专职安全员、分包安全联络员为一线末梢责任人，专职落实班前管控、现场隐患自查、作业行为纠偏、应急物资点检，层级权责书面备案，杜绝管理空白、责任推诿，架构人员全部持证备案，满足业主人员准入核查要求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投标创优四大闭环台账体系：安全生产管理制度台账、创优型安全过程资料台账、隐患排查分级销号闭环台账、突发事件应急履约台账，所有台账统一制式、编号归档、电子纸质双留存，全过程可溯源、可核查、可迎检，适配安全文明工地评优、上级安全督查、项目竣工安全归档全流程使用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四方联动履约管控机制：常态化联动建设单位、监理单位、属地供电运维部门、属地安监执法部门开展联合巡检、联合验收、联合隐患整改；基坑开挖、大件吊装、临近带电、有限空间等高风险作业执行四方旁站审批制度，从源头压降安全事故发生率，保障项目安全履约评分达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（二）全员分级安全生产责任制（投标定岗追责版）</w:t>
      </w:r>
      <w:bookmarkEnd w:id="7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员全覆盖安全责任书签订：项目管理班子、物资后勤、特种作业、劳务班组、外协分包单位全员分级签订制式安全生产履约责任书，责任书绑定投标备案人员信息、岗位风险、管控义务、事故追责、违约处罚条款，新进场人员当日教育培训、当日签订责任书，未备案、未教育、未签约人员一律禁止进场作业，满足招标文件人员安全履约考核要求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落实一岗双责定岗管控：细化管理岗、技术岗、监护岗、操作岗、机具岗差异化安全履职清单，明确岗位危险源管控、隐患上报、应急疏散、事故第一时间上报硬性职责，落实安全责任终身溯源制度，所有岗位职责上墙公示、备案归档，压实全员安全履职义务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履职联动绩效考核履约：将全员日常安全履职、隐患整改、违章管控、安全教育、文明施工成效，直接绑定管理人员绩效薪酬、班组进度结算、分包单位履约评级，执行安全管理一票否决制度；出现一般性安全违约扣减绩效，重大安全违约直接清退分包班组、追究合同履约责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（三）全周期动态危险源辨识分级管控</w:t>
      </w:r>
      <w:bookmarkEnd w:id="8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期踏勘预判辨识：开工前联合运维、监理完成场地承载力复核、地下管线精准探测、周边带电设备测距、极端气象研判、周边人流车流摸排，编制投标备案版项目重大危险源总清单，前置布设隔离、警示、防护设施，从源头规避先天施工安全风险，危险源清单报审监理业主备案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动态分级辨识：按土建、电气、吊装、高处、有限空间、带电毗邻、占道施工七大工序，每日动态更新危险源台账，划分一般危险源、较大危险源、重大危险源三级管控等级，重大危险源挂牌警示、24小时专人值守、升级作业审批，根据工况实时优化防控措施，动态适配施工进度调整管控方案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竣工退场闭环销号辨识：项目收尾、机具撤场、围挡拆除、线缆切割阶段，专项复核退场工序危险源，有序拆除防护设施、解除风险管控、完成台账销号，形成前置辨识-过程防控-动态调整-完工销号全闭环管控流程，全过程留存辨识影像及书面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（四）分级安全教育+工序专项交底履约体系</w:t>
      </w:r>
      <w:bookmarkEnd w:id="9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化合规三级安全教育：严格执行公司级安全法规教育、项目级现场履约教育、班组级实操安全教育，严格落实学时标准、卷面考核、人脸识别建档、安全教育影像留存要求；转岗、复岗、停工复工人员必须重新开展专项安全教育，特种作业人员月度复训考核，证件过期、考核不合格人员永久禁止上岗，全员教育资料纳入投标竣工归档资料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级闭环安全技术交底：区分常规作业、高危作业双交底体系，结合高温、强降雨、大风、霜冻、雾霾极端天气，落实每日班前交底、分项工序专项交底、高危作业一对一旁站交底，交底双方签字盖章、影像留存，口头交底视为无效交底，未完成交底严禁开工，高危作业交底同步报送监理备案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种作业全周期资质管控：场内高压电工、起重司索、登高作业、动火作业、有限空间监护、绝缘作业全部特种岗位人员，证件全部国网官网可查、有效期合规、复审齐全，进场专人核验备案，每月实操复训考核，建立特种人员动态管理台账，随时迎接业主及安监资质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（五）班组标准化创优安全管控</w:t>
      </w:r>
      <w:bookmarkEnd w:id="10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刚性执行班组三会制度：每日开工15分钟班前风险交底会、作业中段巡回安全稽查会、每日收工安全复盘整改会，常态化复盘违章隐患、补齐管控漏洞，台账每日登记，作为班组结算考核依据。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作业前置三级自查机制：班组作业前机具探伤自检、全员劳保合规自查、作业环境隐患自查，三项自查合格签字后方可开工，自查不合格即刻停工整改，筑牢一线作业安全第一道防线。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班组安全积分创优管理：推行现场安全积分评优制度，积分联动班组奖励、评优表彰、结算优先，正向激励班组自主管控、文明施工，助力项目安全文明工地创优加分。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（六）违章分级处罚+履约追责管理制度</w:t>
      </w:r>
      <w:bookmarkEnd w:id="11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备案三级违章界定：一般违章（劳保佩戴不规范、物料堆放杂乱等低风险行为）、较重违章（私接线路、跨越防护、酒后进场等可控风险行为）、重大违章（无票高危作业、擅自拆除防护、违规触碰带电区域、盲目施救等高危事故行为），违章标准全场公示、全员签字知晓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级违约处罚履约机制：一般违章现场整改、警示教育登记；较重违章停工整改、经济处罚、班组履约检讨；重大违章全员停工培训、高额违约处罚、作业人员永久清场，同步追责分包单位合同履约责任，扣除相应履约保证金，全部处罚记录归档备查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违章警示教育复盘机制：施工现场设立安全警示教育专区，公示违章案例、处罚结果、整改方案，每周开展全员安全警示教育，规避同类违章重复发生，持续提升全员安全履约意识。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四、同类项目履约案例佐证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2022-2025年承建县域110kV变电站改扩建、城区配电网络改造两大同类总承包项目，完全套用本安全生产总体管理体系，落实三级安全架构、全员责任制、全流程危险源辨识、班组三会管控、违章分级追责制度，项目顺利通过国网安全内审、属地安监竣工验收，获评电网外包优质安全施工项目部，全周期实现零违章、零安全事故、零履约扣款，管理模式可直接复刻用于本项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三、投标配套归档附件（评标加分）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项目三级安全组织架构备案图、全员岗位安全履约责任书、全工序危险源辨识评价报告、现场违章分级违约处罚细则、三级安全教育考核建档表、分工序安全技术交底制式模板、安全文明工地创优资料清单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专项二 临时用电专项施工方案（投标合规版）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一、投标适用范围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覆盖本项目土建机具、电气施工机具、夜间全域照明、加工制作区、物资库房、办公生活区、围挡亮化、地下作业面全区域临时用电搭设、运维检修、故障应急、退场拆除全生命周期管控，所有用电布设合规对标JGJ46-2024最新国标，满足监理报审、业主核查、安监验收投标合规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二、投标核心管控板块</w:t>
      </w:r>
      <w:bookmarkEnd w:id="1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（一）国标三级配电标准化布设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全域严格执行总配电箱→分配电箱→末端开关箱标准化三级配电架构，硬性落实一机、一闸、一漏、一箱、一接地五防国标管控要求，全域禁止一闸多机、私拉乱接、违规搭接支路线路；室外主干线缆优先绝缘架空布设，路口、基坑、车行路段采用加厚防护套管埋地敷设，线缆线径、耐压等级严格匹配施工最大荷载，提前荷载验算，杜绝超负荷用电隐患，配电布设图纸提前报审备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（二）接地接零全域防护体系</w:t>
      </w:r>
      <w:bookmarkEnd w:id="18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全场统一采用TN-S三相五线专用接零保护系统，黄绿双色专用保护地线全程贯通敷设，地线严禁断线、串联、接驳开关元器件，保障金属用电设备漏电电流快速泄放，从源头规避接触触电事故。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起重设备、焊接机具、金属配电箱、构架电气设备全覆盖增设重复接地装置，专职持证电工每周检测接地电阻，户外常规区域接地电阻≤4Ω，防雷专项接地电阻≤10Ω，数值不达标立即补打接地极整改，留存月度检测投标归档资料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电缆隧道、地下配电室、基坑底部、集水井潮湿作业区域，增设局部等电位接地系统，消除点位电位差，防范跨步电压、接触电压触电风险，适配地下全域用电作业安全管控。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（三）分级常态化用电巡检履约管控</w:t>
      </w:r>
      <w:bookmarkEnd w:id="19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持证电工分级巡检机制：日常每日早晚定点巡检、降雨积水天气加密巡检、夜间施工全过程旁站巡检、节假日停工专项巡检，非持证电工严禁触碰、检修、改动现场用电设施，电工资质全程备案可查。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隐患台账闭环管理：逐项登记漏电参数、线缆老化、端子过热、箱体积水、线路违规搭接隐患，分级下发整改通知单，整改复查闭环归档，所有巡检资料纳入投标竣工安全资料。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停工断电专项管控：阶段性停工、夜间停工、节假日停工全域断电闭锁，闲置机具拔线断电，箱体封闭防护，彻底消除待机漏电、线缆自燃安全隐患。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（四）配电箱闭环全流程管控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配电箱执行专人专锁、专人管理制度，箱体标配防雨顶棚、防撞防护围挡、防潮混凝土底座，箱体回路、负荷、用途标识标准化喷涂；严禁作业人员私自开箱、改装元器件、私接出线；老旧开裂、漏电失灵、锈蚀破损配电箱无条件更换，电工每日清理箱内杂物积灰，保障配电设施长效合规运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（五）用电分区防火专项防控</w:t>
      </w:r>
      <w:bookmarkEnd w:id="21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配电箱外围划定1.5米防火禁入区，禁区内严禁堆放油料、棉纱、废旧电缆、泡沫板材易燃物资，严禁搭设易燃临时围挡，全天候保障消防疏散通道畅通。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分区配置适配消防器材：常规配电区配置干粉灭火器，高压变电、设备配电区配置绝缘专用灭火器材，编制线缆短路、过载起火专项应急处置流程，联动项目消防应急体系统一调度。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用电负荷统筹调度：大功率焊接、切割、升压设备错峰分时合闸作业，专人实时监测线路电流荷载，严控多台大功率机具同步合闸，规避线路过载发热起火风险。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四、同类项目用电履约案例佐证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2023年承接城区10kV电缆隧道新建项目，全域采用本三级配电+TN-S接地防护+分区防火管控模式，全工期电工闭环巡检、配电箱专人上锁管理，施工6个月全过程无漏电触电、无线路起火、无用电安监整改问题，临时用电资料一次性通过监理、供电运维联合验收，用电标准化管控获评标段标杆施工点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三、投标配套归档附件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临时用电总平面布置图、三级配电系统原理图、接地防雷专项详图、接地电阻月度检测台账、电工持证巡检记录表、临时用电专项报审单、用电隐患闭环整改回执单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专项三 高处作业专项施工方案（投标风控版）</w:t>
      </w:r>
      <w:bookmarkEnd w:id="2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一、投标适用范围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配项目所有离地2m及以上全域高处作业，涵盖钢管/水泥杆塔组立登高、屋面配电房设备安装检修、电缆井井口转运作业、基坑标准临边作业、屋面外围构架施工、配电构架登高运维、平台高空检修全工况作业，适配露天、密闭井口、室内构架全场景高处风控，对标高处作业国标管控评标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二、投标核心管控板块</w:t>
      </w:r>
      <w:bookmarkEnd w:id="2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（一）分场景专项差异化高处防护</w:t>
      </w:r>
      <w:bookmarkEnd w:id="27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杆塔登高专业化防护：作业前逐一对脚扣、登高板、安全绳、防坠器探伤耐压检测，磨损变形机具直接报废退场；杆塔横担作业点位提前预埋固定式合规防坠挂点，作业全程专用挂点挂靠防护，严禁临时捆绑杆件挂靠安全带，登高机具进场报验合格后方可使用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屋面配电房高处防护：屋面设备分区围挡隔离，屋面预留孔洞全封闭盖板防护，构架作业区域搭设兜底安全平网，划分高处作业专属作业区，隔离下方通行区域，杜绝高空坠物伤人风险。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电缆井井口高处防护：井口固定式硬质围挡+自锁防坠落盖板全覆盖布设，井口下方加装兜底安全网，上下作业执行互保监护制度，防范人员失足坠落、物料坠落井内事故。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（二）安全带规范化强制管控</w:t>
      </w:r>
      <w:bookmarkEnd w:id="28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全域强制执行高挂低用作业标准，严禁低挂高用、挂靠锈蚀松动构件、挂靠临时管线，违规作业按重大违章追责处罚。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安全带进场第三方送检、月度探伤复检，老化、缝线开裂、卡扣失灵安全带统一报废销毁，建立劳保用品进场报验台账。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落实双人登高互保联防制度，高处作业全程安全带不间断挂靠，无挂靠点位严禁开展高处作业。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（三）全域临边标准化闭环防护</w:t>
      </w:r>
      <w:bookmarkEnd w:id="29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屋面临边、基坑临边、电缆井临边、设备平台临边统一搭设1.2m高标准化防护栏杆+18cm高挡脚板，防护杆件刷红白警示漆，搭设尺寸完全符合国标验收标准。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全域临边布设反光警示条、警示标识，夜间高处作业加装防爆照明、频闪警示灯，提升夜间可视防护等级。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气象分级停工管控：六级大风、雨雪霜冻、浓雾、强对流天气，全域禁止一切露天高处作业，实时监测气象数据留存记录。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（四）高处作业人员准入全流程管控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所有登高作业人员持证上岗、年度体检合格备案，建立登高人员健康台账；每日班前摸排体质状态，严禁高血压、眩晕、恐高、服药、酒后、疲劳人员登高作业，从严落实人员准入风控，规避人为安全事故。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四、同类高处作业实操案例佐证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2024年完成辖区35kV水泥杆塔更换、屋面配电房升级改造项目，作业覆盖杆塔登高、屋面临边、电缆井井口三类高处工况，严格落实安全带高挂低用、标准化临边防护、天气停工管控机制，全年累计高处作业时长超1200工时，未发生高处坠落、高空坠物安全事件，高处作业管控方案被属地供电公司作为外协施工范本推广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三、投标配套归档附件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高处作业点位全域分布图、临边防护搭设标准详图、劳保用品进场报验台账、高处作业专项许可票、登高人员体检资质备案表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3" w:id="33"/>
      <w:r>
        <w:rPr>
          <w:rFonts w:eastAsia="等线" w:ascii="Arial" w:cs="Arial" w:hAnsi="Arial"/>
          <w:b w:val="true"/>
          <w:sz w:val="36"/>
        </w:rPr>
        <w:t>专项四 起重吊装专项施工方案（投标验算版）</w:t>
      </w:r>
      <w:bookmarkEnd w:id="3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一、投标适用范围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专项适配本项目主变压器、高压成套开关柜、电力角钢铁塔、一体化箱式变压器、配电构架、母线设备、大型电缆构件全部大件起重吊装作业，所有吊装受力验算、站位规划、警戒布设全部量化计算，验算资料可直接投标报审、监理复核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二、投标核心管控板块</w:t>
      </w:r>
      <w:bookmarkEnd w:id="3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（一）分项荷载专业受力验算</w:t>
      </w:r>
      <w:bookmarkEnd w:id="36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针对主变、开关柜、铁塔、箱变四大核心设备，分项开展设备自重、吊具自重、风荷载、作业倾斜度、地面承载力全方位受力验算，出具专业书面验算报告，满足投标技术验算评分要求。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结合作业半径、臂展高度、场地工况，精准匹配吊车吨位、钢丝绳规格、卸扣型号，杜绝大机小用、小机超载违规吊装。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异形棱角设备加装专用护角、柔性吊带防护，规避钢丝绳剪切断裂、设备漆面破损、设备变形履约风险。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（二）吊车站位地基专项管控</w:t>
      </w:r>
      <w:bookmarkEnd w:id="37"/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吊装前第三方核验作业地基承载力，软弱回填土、基坑边缘场地全覆盖路基箱、加厚钢板硬化加固，承载力达标后方可支腿作业。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精准划定吊车支腿专属作业区域，避让地下管线、基坑边坡、带电间隔、通行主干道，划定机械限位作业边界。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严禁支腿悬空、单侧受力、斜拉斜吊作业，正式吊装前执行试吊流程，抬升离地20cm核验整机稳定性，合格后方可正式吊装。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（三）吊装警戒区封闭式管控</w:t>
      </w:r>
      <w:bookmarkEnd w:id="38"/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根据吊装最大回转半径，搭设硬质封闭式警戒围挡，专人持证定点值守，非作业人员、无关机具严禁闯入警戒区域。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执行一对一专人指挥制度，统一国标指挥手势、专用加密对讲频道，指挥人员持证上岗，杜绝多头指挥、违规指挥。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硬性执行吊物下方零停留制度，吊物下方严禁人员穿行、作业、堆放物料，从源头杜绝坠物伤亡事故。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（四）气象工况硬性停工管控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现场配置专业风速气象仪，六级及以上大风、暴雨、强雾、沙尘天气，以及夜间无专项防爆照明工况，全域停止所有大件吊装作业，气象数据实时登记归档，从严落实气象停工管控。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（五）吊装资质+旁站闭环管理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吊车司机、司索指挥、信号工全部特种持证备案，大件吊装办理专项吊装作业票，监理、业主双旁站作业，全程影像留存，无证、无票、无旁站严禁吊装施工。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四、同类大件吊装项目案例佐证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近二年完成3座110kV主变吊装、20基角钢铁塔组立吊装、48台箱变就位吊装施工，全部采用本专项受力验算、地基加固、警戒封闭、气象管控体系，大件吊装均出具专项验算报告，监理全过程旁站，所有吊装作业一次就位合规，无设备磕碰、无机械倾覆、无警戒区人员闯入事故，吊装合规率100%，满足国网大件吊装验收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三、投标配套归档附件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设备吊装专项受力验算书、吊车站位平面布置图、警戒区封闭布设图、现场风速监测台账、吊装作业报审审批单、机具进场报验资料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3" w:id="43"/>
      <w:r>
        <w:rPr>
          <w:rFonts w:eastAsia="等线" w:ascii="Arial" w:cs="Arial" w:hAnsi="Arial"/>
          <w:b w:val="true"/>
          <w:sz w:val="36"/>
        </w:rPr>
        <w:t>专项五 有限空间作业专项方案（投标合规风控版）</w:t>
      </w:r>
      <w:bookmarkEnd w:id="4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一、投标适用范围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本项目密闭电缆沟、长距离电缆隧道、地下封闭式配电室、集水井、电缆窖井、密闭给排水电力管沟全部受限空间作业，严格对标AQ3028有限空间国标，落实先通风、再检测、后作业核心准则，满足属地应急、供电运维双重验收投标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二、投标核心管控板块</w:t>
      </w:r>
      <w:bookmarkEnd w:id="4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（一）作业分级前置审批制度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全域执行无票不作业准则，落实一空间、一工况、一作业票分级审批，普通有限空间项目安全员审批，高危密闭有限空间监理+业主双审批，严禁私自下井、入沟、入室作业，作业票全程归档投标竣工资料。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（二）机械强制通风标准化管控</w:t>
      </w:r>
      <w:bookmarkEnd w:id="47"/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作业前轴流风机强制通风时长不少于15分钟，密闭纵深空间作业全程不间断新风送风，禁止自然通风替代机械通风。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通风风口下沉至空间底部死角，定向排出硫化氢、甲烷、一氧化碳、缺氧淤积有毒有害气体，优化空间内部空气质量。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作业交接班、中途停工重启、人员更换，必须重新通风、重新检测，达标后方可复工作业。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（三）三频次气体闭环检测管控</w:t>
      </w:r>
      <w:bookmarkEnd w:id="48"/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必检三项核心指标：氧气含量、有毒有害气体浓度、可燃气体浓度，三项指标全部国标合格方可作业。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严格执行作业前、作业中段、作业离场三频次检测，数据实时手写登记、影像留存，指标超标即刻全员撤离。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气体检测仪定期第三方校准检定，检定证书投标备案，杜绝不合格仪器开展检测作业。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（四）三人联防作业+应急管控</w:t>
      </w:r>
      <w:bookmarkEnd w:id="49"/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全域固定三人作业模式：井下专职作业1人、井口专职监护1人、场外应急备勤1人，永久禁止单人有限空间作业。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监护人员严禁离岗、严禁替代下井作业，作业点位配齐救生三脚架、自锁救生绳、应急呼吸器全套应急物资。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全员开展防盲目施救专项交底，制定窒息、中毒、积水被困专项应急处置预案，定期专项演练，杜绝次生施救伤亡事故。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四、有限空间同类完工案例佐证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2023年我方承建老城片区电缆隧道清淤、地下配电室检修、集水井接驳改造有限空间工程，共计受限作业点位32处，严格执行先通风、再三检测、后作业、三人联防管控模式，全程无盲目施救、无缺氧中毒、无气体超标作业隐患，顺利通过属地应急管理局有限空间专项督查，为本项目同类作业提供成熟可落地管控经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三、投标配套归档附件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项目有限空间点位台账、气体三频次检测记录表、分级作业审批票、现场应急救援处置卡、有限空间专项演练方案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2" w:id="52"/>
      <w:r>
        <w:rPr>
          <w:rFonts w:eastAsia="等线" w:ascii="Arial" w:cs="Arial" w:hAnsi="Arial"/>
          <w:b w:val="true"/>
          <w:sz w:val="36"/>
        </w:rPr>
        <w:t>专项六 临近带电体专项施工方案（投标运维合规版）</w:t>
      </w:r>
      <w:bookmarkEnd w:id="5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一、投标适用范围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本项目高压带电线路毗邻开挖、杆塔架设、土建施工；在运变电站改扩建、带电间隔构架改造、设备更换、管线迁改所有毗邻带电作业，贴合供电公司在运设备运维管控要求，规避带电触碰、放电跳闸安全履约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二、投标核心管控板块</w:t>
      </w:r>
      <w:bookmarkEnd w:id="5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5" w:id="55"/>
      <w:r>
        <w:rPr>
          <w:rFonts w:eastAsia="等线" w:ascii="Arial" w:cs="Arial" w:hAnsi="Arial"/>
          <w:b w:val="true"/>
          <w:sz w:val="30"/>
        </w:rPr>
        <w:t>（一）带电边界前置运维交底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作业前置对接属地供电运维班组，现场核验带电相位、带电范围、设备运行工况，出具运维书面交底回执，精准划定带电隔离红线区域，交底资料双方签字备案，作为开工前置必备资料。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6" w:id="56"/>
      <w:r>
        <w:rPr>
          <w:rFonts w:eastAsia="等线" w:ascii="Arial" w:cs="Arial" w:hAnsi="Arial"/>
          <w:b w:val="true"/>
          <w:sz w:val="30"/>
        </w:rPr>
        <w:t>（二）电压等级安全距离刚性管控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标国标核定分级安全距离：10kV≥1.0m、35kV≥2.0m、110kV≥3.0m、220kV≥5.0m，全域搭设硬质绝缘围挡、带电警示隔离带，人员、机具、物料严禁逾越安全红线；现场作业距离不达标，即刻办理停电、验电、接地、挂牌封网手续，无停电手续禁止施工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7" w:id="57"/>
      <w:r>
        <w:rPr>
          <w:rFonts w:eastAsia="等线" w:ascii="Arial" w:cs="Arial" w:hAnsi="Arial"/>
          <w:b w:val="true"/>
          <w:sz w:val="30"/>
        </w:rPr>
        <w:t>（三）全域绝缘闭环防护措施</w:t>
      </w:r>
      <w:bookmarkEnd w:id="57"/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毗邻带电区域专用绝缘机具作业：绝缘梯、绝缘扳手、绝缘吊索、绝缘撬棍专属使用，普通金属机具禁止靠近带电区域。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裸露带电触头、母线、引线全覆盖加装绝缘护套、绝缘挡板物理封闭防护，防范感应触电、隔空放电风险。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作业人员全套穿戴绝缘鞋、绝缘手套、防静电工作服，按电压等级匹配绝缘劳保等级。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（四）双旁站作业限位管控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高危毗邻带电作业执行运维人员+项目专职安全员双旁站监护；挖掘机、吊车、长臂机具划定回转限位区域，加装限位警示装置，严控机具回转、物料抛掷、车辆偏移触碰带电设备，全过程旁站影像留存。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9" w:id="59"/>
      <w:r>
        <w:rPr>
          <w:rFonts w:eastAsia="等线" w:ascii="Arial" w:cs="Arial" w:hAnsi="Arial"/>
          <w:b w:val="true"/>
          <w:sz w:val="32"/>
        </w:rPr>
        <w:t>四、临近带电施工履约案例佐证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2022年完成在运110kV变电站间隔改扩建、毗邻220kV带电线路杆塔迁改施工，全程执行电压距离管控、绝缘机具作业、运维+安全员双旁站制度，施工全过程无放电、无触碰、无线路跳闸、无运维停运事件，临近带电作业零违章、零风险，顺利通过供电运维部门竣工安全核验，具备高风险带电毗邻施工成熟履约能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0" w:id="60"/>
      <w:r>
        <w:rPr>
          <w:rFonts w:eastAsia="等线" w:ascii="Arial" w:cs="Arial" w:hAnsi="Arial"/>
          <w:b w:val="true"/>
          <w:sz w:val="32"/>
        </w:rPr>
        <w:t>三、投标配套归档附件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现场带电区域平面分布图、分级电压安全距离对照表、绝缘工器具报验台账、临近带电高危作业专项审批单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1" w:id="61"/>
      <w:r>
        <w:rPr>
          <w:rFonts w:eastAsia="等线" w:ascii="Arial" w:cs="Arial" w:hAnsi="Arial"/>
          <w:b w:val="true"/>
          <w:sz w:val="36"/>
        </w:rPr>
        <w:t>专项七 消防安全专项方案（投标创优消防版）</w:t>
      </w:r>
      <w:bookmarkEnd w:id="6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一、投标适用范围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覆盖项目建材成品库房、高低压配电作业现场、油料危险品专用库房、金属加工动火棚、办公生活区、临时宿舍全域消防防火管控，对标施工现场消防国标，满足工地消防验收、文明工地评优、投标消防评分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二、投标核心管控板块</w:t>
      </w:r>
      <w:bookmarkEnd w:id="6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4" w:id="64"/>
      <w:r>
        <w:rPr>
          <w:rFonts w:eastAsia="等线" w:ascii="Arial" w:cs="Arial" w:hAnsi="Arial"/>
          <w:b w:val="true"/>
          <w:sz w:val="30"/>
        </w:rPr>
        <w:t>（一）分区差异化防火管控</w:t>
      </w:r>
      <w:bookmarkEnd w:id="64"/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普通建材库房：可燃电缆、包装材料、木质建材分区隔离堆放，距离配电箱、热源设备间距≥1.5m，每日定时清理易燃碎屑，库房禁烟禁明火。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配电作业现场：电缆余料、绝缘辅料分类收纳堆放，带电作业区域禁止堆放易燃物资，动火作业远离带电设备及电缆堆料区。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油料危险品库房：独立密闭防火建筑、防静电接地全覆盖、避光隔热通风布设，执行双人双锁、出入登记管理制度，库房专属配电防爆布线，全域严禁烟火。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5" w:id="65"/>
      <w:r>
        <w:rPr>
          <w:rFonts w:eastAsia="等线" w:ascii="Arial" w:cs="Arial" w:hAnsi="Arial"/>
          <w:b w:val="true"/>
          <w:sz w:val="30"/>
        </w:rPr>
        <w:t>（二）消防器材标准化配置点检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防火等级分区配置干粉灭火器、消防沙、灭火毯、消防取水点；高压配电区域专属配置绝缘灭火消防器材，所有消防器材定点上墙、编号管理、月度点检、过期更换，全场消防疏散通道24小时畅通，严禁物料占用封堵消防通道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6" w:id="66"/>
      <w:r>
        <w:rPr>
          <w:rFonts w:eastAsia="等线" w:ascii="Arial" w:cs="Arial" w:hAnsi="Arial"/>
          <w:b w:val="true"/>
          <w:sz w:val="30"/>
        </w:rPr>
        <w:t>（三）分级动火闭环审批履约制度</w:t>
      </w:r>
      <w:bookmarkEnd w:id="66"/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分级动火管理：油料库区、密闭空间一级高危动火，场区露天常规作业二级动火，分级对应业主、监理审批权限。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动火前置防护：作业前清空周边易燃物资，布设适配消防器材，配备持证专职监火人在岗监护。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动火收尾管控：作业完工后留守观测30分钟，排查阴燃、余温火源，确认无起火风险后方可离场闭环。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高危密闭、油料库区非必要不动火，确需动火升级四方审批，落实最高等级防火防护。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7" w:id="67"/>
      <w:r>
        <w:rPr>
          <w:rFonts w:eastAsia="等线" w:ascii="Arial" w:cs="Arial" w:hAnsi="Arial"/>
          <w:b w:val="true"/>
          <w:sz w:val="30"/>
        </w:rPr>
        <w:t>（四）消防应急创优管理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组建项目在册义务消防小组，配齐应急消防物资，月度开展消防实操演练，制定火灾断电、人员疏散、初期灭火、物资转运一体化应急流程，完善消防创优台账，助力项目安全文明工地加分。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8" w:id="68"/>
      <w:r>
        <w:rPr>
          <w:rFonts w:eastAsia="等线" w:ascii="Arial" w:cs="Arial" w:hAnsi="Arial"/>
          <w:b w:val="true"/>
          <w:sz w:val="32"/>
        </w:rPr>
        <w:t>四、施工现场消防同类案例佐证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在建产业园区电力配套项目，内设油料专用库房、电缆集中堆放库房、动火加工棚，套用本分级动火、分区防火、消防点检管控方案，全年一级动火作业26次、二级动火百余次，全程无火情隐患，消防器材台账、动火票资料完整合规，项目获评园区消防安全示范施工项目部，消防应急演练、防火管控体系成熟完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9" w:id="69"/>
      <w:r>
        <w:rPr>
          <w:rFonts w:eastAsia="等线" w:ascii="Arial" w:cs="Arial" w:hAnsi="Arial"/>
          <w:b w:val="true"/>
          <w:sz w:val="32"/>
        </w:rPr>
        <w:t>三、投标配套归档附件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全场消防点位布置图、分级动火制式作业票、消防器材月度点检台账、项目消防专项应急演练方案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0" w:id="70"/>
      <w:r>
        <w:rPr>
          <w:rFonts w:eastAsia="等线" w:ascii="Arial" w:cs="Arial" w:hAnsi="Arial"/>
          <w:b w:val="true"/>
          <w:sz w:val="36"/>
        </w:rPr>
        <w:t>专项八 交通导行专项安全方案（投标交管备案版）</w:t>
      </w:r>
      <w:bookmarkEnd w:id="7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1" w:id="71"/>
      <w:r>
        <w:rPr>
          <w:rFonts w:eastAsia="等线" w:ascii="Arial" w:cs="Arial" w:hAnsi="Arial"/>
          <w:b w:val="true"/>
          <w:sz w:val="32"/>
        </w:rPr>
        <w:t>一、投标适用范围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本项目市政公路占道电力施工、城区主干道电缆开挖敷设、人行道配电改造、路口占道围挡施工、非机动车道迁改施工全域人车疏导、围挡防护、交通管控，方案可直接报送属地交管部门备案，满足投标占道施工合规评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二、投标核心管控板块</w:t>
      </w:r>
      <w:bookmarkEnd w:id="7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3" w:id="73"/>
      <w:r>
        <w:rPr>
          <w:rFonts w:eastAsia="等线" w:ascii="Arial" w:cs="Arial" w:hAnsi="Arial"/>
          <w:b w:val="true"/>
          <w:sz w:val="30"/>
        </w:rPr>
        <w:t>（一）国标占道围挡标准化布设</w:t>
      </w:r>
      <w:bookmarkEnd w:id="73"/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城区主干道统一使用装配式加厚彩钢围挡、混凝土防撞墩封闭作业区，围挡全覆盖反光膜、警示标识，外观整洁统一，契合市政文明施工外观要求。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路口弯道、车流交汇点位、夜间施工区段，增设爆闪警示灯、导向箭头、减速慢行、前方施工提示标识，提升道路通行警示度。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临路开挖沟槽外侧加装防撞防护护栏，设防倾覆限位底座，防范社会车辆失控坠入作业基坑。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4" w:id="74"/>
      <w:r>
        <w:rPr>
          <w:rFonts w:eastAsia="等线" w:ascii="Arial" w:cs="Arial" w:hAnsi="Arial"/>
          <w:b w:val="true"/>
          <w:sz w:val="30"/>
        </w:rPr>
        <w:t>（二）合规交通导行全域布设</w:t>
      </w:r>
      <w:bookmarkEnd w:id="74"/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施工前完整编制占道施工方案，报备属地交管部门审批备案，取得占道许可后方可进场围挡施工，杜绝无证占道违约施工。</w:t>
      </w:r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依据早晚高峰车流数据，布设导向锥、导流隔离牌，优化单向导行、分流通行路线，适配城市通勤车流节奏。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执行分段围挡、分段施工、分段放行模式，保障机动车、非机动车最小通行宽度，最大限度降低施工对城市交通影响。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5" w:id="75"/>
      <w:r>
        <w:rPr>
          <w:rFonts w:eastAsia="等线" w:ascii="Arial" w:cs="Arial" w:hAnsi="Arial"/>
          <w:b w:val="true"/>
          <w:sz w:val="30"/>
        </w:rPr>
        <w:t>（三）硬质人车分流闭环管控</w:t>
      </w:r>
      <w:bookmarkEnd w:id="75"/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单独硬质隔离搭设人行专用通道，物理隔离作业区与人行、车行区域，严禁社会行人私自进入电缆开挖、机具作业高危区域。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现场交通疏导员持证着装、反光背心上岗，早晚高峰定点值守疏导车流，规范现场通行秩序。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项目进出施工车辆专人指挥接引，避让社会通勤车辆，场内物料定点堆放，严禁占道装卸、占道停车。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6" w:id="76"/>
      <w:r>
        <w:rPr>
          <w:rFonts w:eastAsia="等线" w:ascii="Arial" w:cs="Arial" w:hAnsi="Arial"/>
          <w:b w:val="true"/>
          <w:sz w:val="30"/>
        </w:rPr>
        <w:t>（四）恶劣天气交通专项防控</w:t>
      </w:r>
      <w:bookmarkEnd w:id="7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雨天、雾天、夜间加密警示设施布设密度，大雾强降雨天气缩减占道施工范围，极端能见度不足工况，即刻暂停占道开挖、大型机具转运作业，规避道路交通安全事故。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7" w:id="77"/>
      <w:r>
        <w:rPr>
          <w:rFonts w:eastAsia="等线" w:ascii="Arial" w:cs="Arial" w:hAnsi="Arial"/>
          <w:b w:val="true"/>
          <w:sz w:val="32"/>
        </w:rPr>
        <w:t>四、市政占道导行完工案例佐证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2024年我方承接城区主干道电力电缆开挖占道施工项目，全长2.1km城市道路占道作业，严格按照本围挡布设、人车分流、高峰导行、恶劣天气防控方案施工，提前完成交管报备、分段导行施工，施工期间无道路拥堵投诉、无人车交通安全事故、无交管部门处罚，占道施工文明合规，获得属地交管、住建部门施工好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8" w:id="78"/>
      <w:r>
        <w:rPr>
          <w:rFonts w:eastAsia="等线" w:ascii="Arial" w:cs="Arial" w:hAnsi="Arial"/>
          <w:b w:val="true"/>
          <w:sz w:val="32"/>
        </w:rPr>
        <w:t>三、投标配套归档附件</w:t>
      </w:r>
      <w:bookmarkEnd w:id="7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道路占道导行专项平面图、围挡标准搭设详图、疏导人员持证排班表、占道施工交管报备全套资料模板、交通应急疏导预案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2620">
    <w:lvl>
      <w:start w:val="1"/>
      <w:numFmt w:val="decimal"/>
      <w:suff w:val="tab"/>
      <w:lvlText w:val="%1."/>
      <w:rPr>
        <w:color w:val="3370ff"/>
      </w:rPr>
    </w:lvl>
  </w:abstractNum>
  <w:abstractNum w:abstractNumId="72621">
    <w:lvl>
      <w:start w:val="2"/>
      <w:numFmt w:val="decimal"/>
      <w:suff w:val="tab"/>
      <w:lvlText w:val="%1."/>
      <w:rPr>
        <w:color w:val="3370ff"/>
      </w:rPr>
    </w:lvl>
  </w:abstractNum>
  <w:abstractNum w:abstractNumId="72622">
    <w:lvl>
      <w:start w:val="3"/>
      <w:numFmt w:val="decimal"/>
      <w:suff w:val="tab"/>
      <w:lvlText w:val="%1."/>
      <w:rPr>
        <w:color w:val="3370ff"/>
      </w:rPr>
    </w:lvl>
  </w:abstractNum>
  <w:abstractNum w:abstractNumId="72623">
    <w:lvl>
      <w:start w:val="1"/>
      <w:numFmt w:val="decimal"/>
      <w:suff w:val="tab"/>
      <w:lvlText w:val="%1."/>
      <w:rPr>
        <w:color w:val="3370ff"/>
      </w:rPr>
    </w:lvl>
  </w:abstractNum>
  <w:abstractNum w:abstractNumId="72624">
    <w:lvl>
      <w:start w:val="2"/>
      <w:numFmt w:val="decimal"/>
      <w:suff w:val="tab"/>
      <w:lvlText w:val="%1."/>
      <w:rPr>
        <w:color w:val="3370ff"/>
      </w:rPr>
    </w:lvl>
  </w:abstractNum>
  <w:abstractNum w:abstractNumId="72625">
    <w:lvl>
      <w:start w:val="3"/>
      <w:numFmt w:val="decimal"/>
      <w:suff w:val="tab"/>
      <w:lvlText w:val="%1."/>
      <w:rPr>
        <w:color w:val="3370ff"/>
      </w:rPr>
    </w:lvl>
  </w:abstractNum>
  <w:abstractNum w:abstractNumId="72626">
    <w:lvl>
      <w:start w:val="1"/>
      <w:numFmt w:val="decimal"/>
      <w:suff w:val="tab"/>
      <w:lvlText w:val="%1."/>
      <w:rPr>
        <w:color w:val="3370ff"/>
      </w:rPr>
    </w:lvl>
  </w:abstractNum>
  <w:abstractNum w:abstractNumId="72627">
    <w:lvl>
      <w:start w:val="2"/>
      <w:numFmt w:val="decimal"/>
      <w:suff w:val="tab"/>
      <w:lvlText w:val="%1."/>
      <w:rPr>
        <w:color w:val="3370ff"/>
      </w:rPr>
    </w:lvl>
  </w:abstractNum>
  <w:abstractNum w:abstractNumId="72628">
    <w:lvl>
      <w:start w:val="3"/>
      <w:numFmt w:val="decimal"/>
      <w:suff w:val="tab"/>
      <w:lvlText w:val="%1."/>
      <w:rPr>
        <w:color w:val="3370ff"/>
      </w:rPr>
    </w:lvl>
  </w:abstractNum>
  <w:abstractNum w:abstractNumId="72629">
    <w:lvl>
      <w:start w:val="1"/>
      <w:numFmt w:val="decimal"/>
      <w:suff w:val="tab"/>
      <w:lvlText w:val="%1."/>
      <w:rPr>
        <w:color w:val="3370ff"/>
      </w:rPr>
    </w:lvl>
  </w:abstractNum>
  <w:abstractNum w:abstractNumId="72630">
    <w:lvl>
      <w:start w:val="2"/>
      <w:numFmt w:val="decimal"/>
      <w:suff w:val="tab"/>
      <w:lvlText w:val="%1."/>
      <w:rPr>
        <w:color w:val="3370ff"/>
      </w:rPr>
    </w:lvl>
  </w:abstractNum>
  <w:abstractNum w:abstractNumId="72631">
    <w:lvl>
      <w:start w:val="3"/>
      <w:numFmt w:val="decimal"/>
      <w:suff w:val="tab"/>
      <w:lvlText w:val="%1."/>
      <w:rPr>
        <w:color w:val="3370ff"/>
      </w:rPr>
    </w:lvl>
  </w:abstractNum>
  <w:abstractNum w:abstractNumId="72632">
    <w:lvl>
      <w:start w:val="1"/>
      <w:numFmt w:val="decimal"/>
      <w:suff w:val="tab"/>
      <w:lvlText w:val="%1."/>
      <w:rPr>
        <w:color w:val="3370ff"/>
      </w:rPr>
    </w:lvl>
  </w:abstractNum>
  <w:abstractNum w:abstractNumId="72633">
    <w:lvl>
      <w:start w:val="2"/>
      <w:numFmt w:val="decimal"/>
      <w:suff w:val="tab"/>
      <w:lvlText w:val="%1."/>
      <w:rPr>
        <w:color w:val="3370ff"/>
      </w:rPr>
    </w:lvl>
  </w:abstractNum>
  <w:abstractNum w:abstractNumId="72634">
    <w:lvl>
      <w:start w:val="3"/>
      <w:numFmt w:val="decimal"/>
      <w:suff w:val="tab"/>
      <w:lvlText w:val="%1."/>
      <w:rPr>
        <w:color w:val="3370ff"/>
      </w:rPr>
    </w:lvl>
  </w:abstractNum>
  <w:abstractNum w:abstractNumId="72635">
    <w:lvl>
      <w:start w:val="1"/>
      <w:numFmt w:val="decimal"/>
      <w:suff w:val="tab"/>
      <w:lvlText w:val="%1."/>
      <w:rPr>
        <w:color w:val="3370ff"/>
      </w:rPr>
    </w:lvl>
  </w:abstractNum>
  <w:abstractNum w:abstractNumId="72636">
    <w:lvl>
      <w:start w:val="2"/>
      <w:numFmt w:val="decimal"/>
      <w:suff w:val="tab"/>
      <w:lvlText w:val="%1."/>
      <w:rPr>
        <w:color w:val="3370ff"/>
      </w:rPr>
    </w:lvl>
  </w:abstractNum>
  <w:abstractNum w:abstractNumId="72637">
    <w:lvl>
      <w:start w:val="3"/>
      <w:numFmt w:val="decimal"/>
      <w:suff w:val="tab"/>
      <w:lvlText w:val="%1."/>
      <w:rPr>
        <w:color w:val="3370ff"/>
      </w:rPr>
    </w:lvl>
  </w:abstractNum>
  <w:abstractNum w:abstractNumId="72638">
    <w:lvl>
      <w:start w:val="1"/>
      <w:numFmt w:val="decimal"/>
      <w:suff w:val="tab"/>
      <w:lvlText w:val="%1."/>
      <w:rPr>
        <w:color w:val="3370ff"/>
      </w:rPr>
    </w:lvl>
  </w:abstractNum>
  <w:abstractNum w:abstractNumId="72639">
    <w:lvl>
      <w:start w:val="2"/>
      <w:numFmt w:val="decimal"/>
      <w:suff w:val="tab"/>
      <w:lvlText w:val="%1."/>
      <w:rPr>
        <w:color w:val="3370ff"/>
      </w:rPr>
    </w:lvl>
  </w:abstractNum>
  <w:abstractNum w:abstractNumId="72640">
    <w:lvl>
      <w:start w:val="3"/>
      <w:numFmt w:val="decimal"/>
      <w:suff w:val="tab"/>
      <w:lvlText w:val="%1."/>
      <w:rPr>
        <w:color w:val="3370ff"/>
      </w:rPr>
    </w:lvl>
  </w:abstractNum>
  <w:abstractNum w:abstractNumId="72641">
    <w:lvl>
      <w:start w:val="1"/>
      <w:numFmt w:val="decimal"/>
      <w:suff w:val="tab"/>
      <w:lvlText w:val="%1."/>
      <w:rPr>
        <w:color w:val="3370ff"/>
      </w:rPr>
    </w:lvl>
  </w:abstractNum>
  <w:abstractNum w:abstractNumId="72642">
    <w:lvl>
      <w:start w:val="2"/>
      <w:numFmt w:val="decimal"/>
      <w:suff w:val="tab"/>
      <w:lvlText w:val="%1."/>
      <w:rPr>
        <w:color w:val="3370ff"/>
      </w:rPr>
    </w:lvl>
  </w:abstractNum>
  <w:abstractNum w:abstractNumId="72643">
    <w:lvl>
      <w:start w:val="3"/>
      <w:numFmt w:val="decimal"/>
      <w:suff w:val="tab"/>
      <w:lvlText w:val="%1."/>
      <w:rPr>
        <w:color w:val="3370ff"/>
      </w:rPr>
    </w:lvl>
  </w:abstractNum>
  <w:abstractNum w:abstractNumId="72644">
    <w:lvl>
      <w:start w:val="1"/>
      <w:numFmt w:val="decimal"/>
      <w:suff w:val="tab"/>
      <w:lvlText w:val="%1."/>
      <w:rPr>
        <w:color w:val="3370ff"/>
      </w:rPr>
    </w:lvl>
  </w:abstractNum>
  <w:abstractNum w:abstractNumId="72645">
    <w:lvl>
      <w:start w:val="2"/>
      <w:numFmt w:val="decimal"/>
      <w:suff w:val="tab"/>
      <w:lvlText w:val="%1."/>
      <w:rPr>
        <w:color w:val="3370ff"/>
      </w:rPr>
    </w:lvl>
  </w:abstractNum>
  <w:abstractNum w:abstractNumId="72646">
    <w:lvl>
      <w:start w:val="3"/>
      <w:numFmt w:val="decimal"/>
      <w:suff w:val="tab"/>
      <w:lvlText w:val="%1."/>
      <w:rPr>
        <w:color w:val="3370ff"/>
      </w:rPr>
    </w:lvl>
  </w:abstractNum>
  <w:abstractNum w:abstractNumId="72647">
    <w:lvl>
      <w:start w:val="1"/>
      <w:numFmt w:val="decimal"/>
      <w:suff w:val="tab"/>
      <w:lvlText w:val="%1."/>
      <w:rPr>
        <w:color w:val="3370ff"/>
      </w:rPr>
    </w:lvl>
  </w:abstractNum>
  <w:abstractNum w:abstractNumId="72648">
    <w:lvl>
      <w:start w:val="2"/>
      <w:numFmt w:val="decimal"/>
      <w:suff w:val="tab"/>
      <w:lvlText w:val="%1."/>
      <w:rPr>
        <w:color w:val="3370ff"/>
      </w:rPr>
    </w:lvl>
  </w:abstractNum>
  <w:abstractNum w:abstractNumId="72649">
    <w:lvl>
      <w:start w:val="3"/>
      <w:numFmt w:val="decimal"/>
      <w:suff w:val="tab"/>
      <w:lvlText w:val="%1."/>
      <w:rPr>
        <w:color w:val="3370ff"/>
      </w:rPr>
    </w:lvl>
  </w:abstractNum>
  <w:abstractNum w:abstractNumId="72650">
    <w:lvl>
      <w:start w:val="1"/>
      <w:numFmt w:val="decimal"/>
      <w:suff w:val="tab"/>
      <w:lvlText w:val="%1."/>
      <w:rPr>
        <w:color w:val="3370ff"/>
      </w:rPr>
    </w:lvl>
  </w:abstractNum>
  <w:abstractNum w:abstractNumId="72651">
    <w:lvl>
      <w:start w:val="2"/>
      <w:numFmt w:val="decimal"/>
      <w:suff w:val="tab"/>
      <w:lvlText w:val="%1."/>
      <w:rPr>
        <w:color w:val="3370ff"/>
      </w:rPr>
    </w:lvl>
  </w:abstractNum>
  <w:abstractNum w:abstractNumId="72652">
    <w:lvl>
      <w:start w:val="3"/>
      <w:numFmt w:val="decimal"/>
      <w:suff w:val="tab"/>
      <w:lvlText w:val="%1."/>
      <w:rPr>
        <w:color w:val="3370ff"/>
      </w:rPr>
    </w:lvl>
  </w:abstractNum>
  <w:abstractNum w:abstractNumId="72653">
    <w:lvl>
      <w:start w:val="1"/>
      <w:numFmt w:val="decimal"/>
      <w:suff w:val="tab"/>
      <w:lvlText w:val="%1."/>
      <w:rPr>
        <w:color w:val="3370ff"/>
      </w:rPr>
    </w:lvl>
  </w:abstractNum>
  <w:abstractNum w:abstractNumId="72654">
    <w:lvl>
      <w:start w:val="2"/>
      <w:numFmt w:val="decimal"/>
      <w:suff w:val="tab"/>
      <w:lvlText w:val="%1."/>
      <w:rPr>
        <w:color w:val="3370ff"/>
      </w:rPr>
    </w:lvl>
  </w:abstractNum>
  <w:abstractNum w:abstractNumId="72655">
    <w:lvl>
      <w:start w:val="3"/>
      <w:numFmt w:val="decimal"/>
      <w:suff w:val="tab"/>
      <w:lvlText w:val="%1."/>
      <w:rPr>
        <w:color w:val="3370ff"/>
      </w:rPr>
    </w:lvl>
  </w:abstractNum>
  <w:abstractNum w:abstractNumId="72656">
    <w:lvl>
      <w:start w:val="1"/>
      <w:numFmt w:val="decimal"/>
      <w:suff w:val="tab"/>
      <w:lvlText w:val="%1."/>
      <w:rPr>
        <w:color w:val="3370ff"/>
      </w:rPr>
    </w:lvl>
  </w:abstractNum>
  <w:abstractNum w:abstractNumId="72657">
    <w:lvl>
      <w:start w:val="2"/>
      <w:numFmt w:val="decimal"/>
      <w:suff w:val="tab"/>
      <w:lvlText w:val="%1."/>
      <w:rPr>
        <w:color w:val="3370ff"/>
      </w:rPr>
    </w:lvl>
  </w:abstractNum>
  <w:abstractNum w:abstractNumId="72658">
    <w:lvl>
      <w:start w:val="3"/>
      <w:numFmt w:val="decimal"/>
      <w:suff w:val="tab"/>
      <w:lvlText w:val="%1."/>
      <w:rPr>
        <w:color w:val="3370ff"/>
      </w:rPr>
    </w:lvl>
  </w:abstractNum>
  <w:abstractNum w:abstractNumId="72659">
    <w:lvl>
      <w:start w:val="1"/>
      <w:numFmt w:val="decimal"/>
      <w:suff w:val="tab"/>
      <w:lvlText w:val="%1."/>
      <w:rPr>
        <w:color w:val="3370ff"/>
      </w:rPr>
    </w:lvl>
  </w:abstractNum>
  <w:abstractNum w:abstractNumId="72660">
    <w:lvl>
      <w:start w:val="2"/>
      <w:numFmt w:val="decimal"/>
      <w:suff w:val="tab"/>
      <w:lvlText w:val="%1."/>
      <w:rPr>
        <w:color w:val="3370ff"/>
      </w:rPr>
    </w:lvl>
  </w:abstractNum>
  <w:abstractNum w:abstractNumId="72661">
    <w:lvl>
      <w:start w:val="3"/>
      <w:numFmt w:val="decimal"/>
      <w:suff w:val="tab"/>
      <w:lvlText w:val="%1."/>
      <w:rPr>
        <w:color w:val="3370ff"/>
      </w:rPr>
    </w:lvl>
  </w:abstractNum>
  <w:abstractNum w:abstractNumId="72662">
    <w:lvl>
      <w:start w:val="1"/>
      <w:numFmt w:val="decimal"/>
      <w:suff w:val="tab"/>
      <w:lvlText w:val="%1."/>
      <w:rPr>
        <w:color w:val="3370ff"/>
      </w:rPr>
    </w:lvl>
  </w:abstractNum>
  <w:abstractNum w:abstractNumId="72663">
    <w:lvl>
      <w:start w:val="2"/>
      <w:numFmt w:val="decimal"/>
      <w:suff w:val="tab"/>
      <w:lvlText w:val="%1."/>
      <w:rPr>
        <w:color w:val="3370ff"/>
      </w:rPr>
    </w:lvl>
  </w:abstractNum>
  <w:abstractNum w:abstractNumId="72664">
    <w:lvl>
      <w:start w:val="3"/>
      <w:numFmt w:val="decimal"/>
      <w:suff w:val="tab"/>
      <w:lvlText w:val="%1."/>
      <w:rPr>
        <w:color w:val="3370ff"/>
      </w:rPr>
    </w:lvl>
  </w:abstractNum>
  <w:abstractNum w:abstractNumId="72665">
    <w:lvl>
      <w:start w:val="1"/>
      <w:numFmt w:val="decimal"/>
      <w:suff w:val="tab"/>
      <w:lvlText w:val="%1."/>
      <w:rPr>
        <w:color w:val="3370ff"/>
      </w:rPr>
    </w:lvl>
  </w:abstractNum>
  <w:abstractNum w:abstractNumId="72666">
    <w:lvl>
      <w:start w:val="2"/>
      <w:numFmt w:val="decimal"/>
      <w:suff w:val="tab"/>
      <w:lvlText w:val="%1."/>
      <w:rPr>
        <w:color w:val="3370ff"/>
      </w:rPr>
    </w:lvl>
  </w:abstractNum>
  <w:abstractNum w:abstractNumId="72667">
    <w:lvl>
      <w:start w:val="3"/>
      <w:numFmt w:val="decimal"/>
      <w:suff w:val="tab"/>
      <w:lvlText w:val="%1."/>
      <w:rPr>
        <w:color w:val="3370ff"/>
      </w:rPr>
    </w:lvl>
  </w:abstractNum>
  <w:abstractNum w:abstractNumId="72668">
    <w:lvl>
      <w:start w:val="1"/>
      <w:numFmt w:val="decimal"/>
      <w:suff w:val="tab"/>
      <w:lvlText w:val="%1."/>
      <w:rPr>
        <w:color w:val="3370ff"/>
      </w:rPr>
    </w:lvl>
  </w:abstractNum>
  <w:abstractNum w:abstractNumId="72669">
    <w:lvl>
      <w:start w:val="2"/>
      <w:numFmt w:val="decimal"/>
      <w:suff w:val="tab"/>
      <w:lvlText w:val="%1."/>
      <w:rPr>
        <w:color w:val="3370ff"/>
      </w:rPr>
    </w:lvl>
  </w:abstractNum>
  <w:abstractNum w:abstractNumId="72670">
    <w:lvl>
      <w:start w:val="3"/>
      <w:numFmt w:val="decimal"/>
      <w:suff w:val="tab"/>
      <w:lvlText w:val="%1."/>
      <w:rPr>
        <w:color w:val="3370ff"/>
      </w:rPr>
    </w:lvl>
  </w:abstractNum>
  <w:abstractNum w:abstractNumId="72671">
    <w:lvl>
      <w:start w:val="1"/>
      <w:numFmt w:val="decimal"/>
      <w:suff w:val="tab"/>
      <w:lvlText w:val="%1."/>
      <w:rPr>
        <w:color w:val="3370ff"/>
      </w:rPr>
    </w:lvl>
  </w:abstractNum>
  <w:abstractNum w:abstractNumId="72672">
    <w:lvl>
      <w:start w:val="2"/>
      <w:numFmt w:val="decimal"/>
      <w:suff w:val="tab"/>
      <w:lvlText w:val="%1."/>
      <w:rPr>
        <w:color w:val="3370ff"/>
      </w:rPr>
    </w:lvl>
  </w:abstractNum>
  <w:abstractNum w:abstractNumId="72673">
    <w:lvl>
      <w:start w:val="3"/>
      <w:numFmt w:val="decimal"/>
      <w:suff w:val="tab"/>
      <w:lvlText w:val="%1."/>
      <w:rPr>
        <w:color w:val="3370ff"/>
      </w:rPr>
    </w:lvl>
  </w:abstractNum>
  <w:abstractNum w:abstractNumId="72674">
    <w:lvl>
      <w:start w:val="1"/>
      <w:numFmt w:val="decimal"/>
      <w:suff w:val="tab"/>
      <w:lvlText w:val="%1."/>
      <w:rPr>
        <w:color w:val="3370ff"/>
      </w:rPr>
    </w:lvl>
  </w:abstractNum>
  <w:abstractNum w:abstractNumId="72675">
    <w:lvl>
      <w:start w:val="2"/>
      <w:numFmt w:val="decimal"/>
      <w:suff w:val="tab"/>
      <w:lvlText w:val="%1."/>
      <w:rPr>
        <w:color w:val="3370ff"/>
      </w:rPr>
    </w:lvl>
  </w:abstractNum>
  <w:abstractNum w:abstractNumId="72676">
    <w:lvl>
      <w:start w:val="3"/>
      <w:numFmt w:val="decimal"/>
      <w:suff w:val="tab"/>
      <w:lvlText w:val="%1."/>
      <w:rPr>
        <w:color w:val="3370ff"/>
      </w:rPr>
    </w:lvl>
  </w:abstractNum>
  <w:abstractNum w:abstractNumId="72677">
    <w:lvl>
      <w:start w:val="1"/>
      <w:numFmt w:val="decimal"/>
      <w:suff w:val="tab"/>
      <w:lvlText w:val="%1."/>
      <w:rPr>
        <w:color w:val="3370ff"/>
      </w:rPr>
    </w:lvl>
  </w:abstractNum>
  <w:abstractNum w:abstractNumId="72678">
    <w:lvl>
      <w:start w:val="2"/>
      <w:numFmt w:val="decimal"/>
      <w:suff w:val="tab"/>
      <w:lvlText w:val="%1."/>
      <w:rPr>
        <w:color w:val="3370ff"/>
      </w:rPr>
    </w:lvl>
  </w:abstractNum>
  <w:abstractNum w:abstractNumId="72679">
    <w:lvl>
      <w:start w:val="3"/>
      <w:numFmt w:val="decimal"/>
      <w:suff w:val="tab"/>
      <w:lvlText w:val="%1."/>
      <w:rPr>
        <w:color w:val="3370ff"/>
      </w:rPr>
    </w:lvl>
  </w:abstractNum>
  <w:abstractNum w:abstractNumId="72680">
    <w:lvl>
      <w:start w:val="1"/>
      <w:numFmt w:val="decimal"/>
      <w:suff w:val="tab"/>
      <w:lvlText w:val="%1."/>
      <w:rPr>
        <w:color w:val="3370ff"/>
      </w:rPr>
    </w:lvl>
  </w:abstractNum>
  <w:abstractNum w:abstractNumId="72681">
    <w:lvl>
      <w:start w:val="2"/>
      <w:numFmt w:val="decimal"/>
      <w:suff w:val="tab"/>
      <w:lvlText w:val="%1."/>
      <w:rPr>
        <w:color w:val="3370ff"/>
      </w:rPr>
    </w:lvl>
  </w:abstractNum>
  <w:abstractNum w:abstractNumId="72682">
    <w:lvl>
      <w:start w:val="3"/>
      <w:numFmt w:val="decimal"/>
      <w:suff w:val="tab"/>
      <w:lvlText w:val="%1."/>
      <w:rPr>
        <w:color w:val="3370ff"/>
      </w:rPr>
    </w:lvl>
  </w:abstractNum>
  <w:abstractNum w:abstractNumId="72683">
    <w:lvl>
      <w:start w:val="4"/>
      <w:numFmt w:val="decimal"/>
      <w:suff w:val="tab"/>
      <w:lvlText w:val="%1."/>
      <w:rPr>
        <w:color w:val="3370ff"/>
      </w:rPr>
    </w:lvl>
  </w:abstractNum>
  <w:abstractNum w:abstractNumId="72684">
    <w:lvl>
      <w:start w:val="1"/>
      <w:numFmt w:val="decimal"/>
      <w:suff w:val="tab"/>
      <w:lvlText w:val="%1."/>
      <w:rPr>
        <w:color w:val="3370ff"/>
      </w:rPr>
    </w:lvl>
  </w:abstractNum>
  <w:abstractNum w:abstractNumId="72685">
    <w:lvl>
      <w:start w:val="2"/>
      <w:numFmt w:val="decimal"/>
      <w:suff w:val="tab"/>
      <w:lvlText w:val="%1."/>
      <w:rPr>
        <w:color w:val="3370ff"/>
      </w:rPr>
    </w:lvl>
  </w:abstractNum>
  <w:abstractNum w:abstractNumId="72686">
    <w:lvl>
      <w:start w:val="3"/>
      <w:numFmt w:val="decimal"/>
      <w:suff w:val="tab"/>
      <w:lvlText w:val="%1."/>
      <w:rPr>
        <w:color w:val="3370ff"/>
      </w:rPr>
    </w:lvl>
  </w:abstractNum>
  <w:abstractNum w:abstractNumId="72687">
    <w:lvl>
      <w:start w:val="1"/>
      <w:numFmt w:val="decimal"/>
      <w:suff w:val="tab"/>
      <w:lvlText w:val="%1."/>
      <w:rPr>
        <w:color w:val="3370ff"/>
      </w:rPr>
    </w:lvl>
  </w:abstractNum>
  <w:abstractNum w:abstractNumId="72688">
    <w:lvl>
      <w:start w:val="2"/>
      <w:numFmt w:val="decimal"/>
      <w:suff w:val="tab"/>
      <w:lvlText w:val="%1."/>
      <w:rPr>
        <w:color w:val="3370ff"/>
      </w:rPr>
    </w:lvl>
  </w:abstractNum>
  <w:abstractNum w:abstractNumId="72689">
    <w:lvl>
      <w:start w:val="3"/>
      <w:numFmt w:val="decimal"/>
      <w:suff w:val="tab"/>
      <w:lvlText w:val="%1."/>
      <w:rPr>
        <w:color w:val="3370ff"/>
      </w:rPr>
    </w:lvl>
  </w:abstractNum>
  <w:abstractNum w:abstractNumId="72690">
    <w:lvl>
      <w:start w:val="1"/>
      <w:numFmt w:val="decimal"/>
      <w:suff w:val="tab"/>
      <w:lvlText w:val="%1."/>
      <w:rPr>
        <w:color w:val="3370ff"/>
      </w:rPr>
    </w:lvl>
  </w:abstractNum>
  <w:abstractNum w:abstractNumId="72691">
    <w:lvl>
      <w:start w:val="2"/>
      <w:numFmt w:val="decimal"/>
      <w:suff w:val="tab"/>
      <w:lvlText w:val="%1."/>
      <w:rPr>
        <w:color w:val="3370ff"/>
      </w:rPr>
    </w:lvl>
  </w:abstractNum>
  <w:abstractNum w:abstractNumId="72692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72620"/>
  </w:num>
  <w:num w:numId="2">
    <w:abstractNumId w:val="72621"/>
  </w:num>
  <w:num w:numId="3">
    <w:abstractNumId w:val="72622"/>
  </w:num>
  <w:num w:numId="4">
    <w:abstractNumId w:val="72623"/>
  </w:num>
  <w:num w:numId="5">
    <w:abstractNumId w:val="72624"/>
  </w:num>
  <w:num w:numId="6">
    <w:abstractNumId w:val="72625"/>
  </w:num>
  <w:num w:numId="7">
    <w:abstractNumId w:val="72626"/>
  </w:num>
  <w:num w:numId="8">
    <w:abstractNumId w:val="72627"/>
  </w:num>
  <w:num w:numId="9">
    <w:abstractNumId w:val="72628"/>
  </w:num>
  <w:num w:numId="10">
    <w:abstractNumId w:val="72629"/>
  </w:num>
  <w:num w:numId="11">
    <w:abstractNumId w:val="72630"/>
  </w:num>
  <w:num w:numId="12">
    <w:abstractNumId w:val="72631"/>
  </w:num>
  <w:num w:numId="13">
    <w:abstractNumId w:val="72632"/>
  </w:num>
  <w:num w:numId="14">
    <w:abstractNumId w:val="72633"/>
  </w:num>
  <w:num w:numId="15">
    <w:abstractNumId w:val="72634"/>
  </w:num>
  <w:num w:numId="16">
    <w:abstractNumId w:val="72635"/>
  </w:num>
  <w:num w:numId="17">
    <w:abstractNumId w:val="72636"/>
  </w:num>
  <w:num w:numId="18">
    <w:abstractNumId w:val="72637"/>
  </w:num>
  <w:num w:numId="19">
    <w:abstractNumId w:val="72638"/>
  </w:num>
  <w:num w:numId="20">
    <w:abstractNumId w:val="72639"/>
  </w:num>
  <w:num w:numId="21">
    <w:abstractNumId w:val="72640"/>
  </w:num>
  <w:num w:numId="22">
    <w:abstractNumId w:val="72641"/>
  </w:num>
  <w:num w:numId="23">
    <w:abstractNumId w:val="72642"/>
  </w:num>
  <w:num w:numId="24">
    <w:abstractNumId w:val="72643"/>
  </w:num>
  <w:num w:numId="25">
    <w:abstractNumId w:val="72644"/>
  </w:num>
  <w:num w:numId="26">
    <w:abstractNumId w:val="72645"/>
  </w:num>
  <w:num w:numId="27">
    <w:abstractNumId w:val="72646"/>
  </w:num>
  <w:num w:numId="28">
    <w:abstractNumId w:val="72647"/>
  </w:num>
  <w:num w:numId="29">
    <w:abstractNumId w:val="72648"/>
  </w:num>
  <w:num w:numId="30">
    <w:abstractNumId w:val="72649"/>
  </w:num>
  <w:num w:numId="31">
    <w:abstractNumId w:val="72650"/>
  </w:num>
  <w:num w:numId="32">
    <w:abstractNumId w:val="72651"/>
  </w:num>
  <w:num w:numId="33">
    <w:abstractNumId w:val="72652"/>
  </w:num>
  <w:num w:numId="34">
    <w:abstractNumId w:val="72653"/>
  </w:num>
  <w:num w:numId="35">
    <w:abstractNumId w:val="72654"/>
  </w:num>
  <w:num w:numId="36">
    <w:abstractNumId w:val="72655"/>
  </w:num>
  <w:num w:numId="37">
    <w:abstractNumId w:val="72656"/>
  </w:num>
  <w:num w:numId="38">
    <w:abstractNumId w:val="72657"/>
  </w:num>
  <w:num w:numId="39">
    <w:abstractNumId w:val="72658"/>
  </w:num>
  <w:num w:numId="40">
    <w:abstractNumId w:val="72659"/>
  </w:num>
  <w:num w:numId="41">
    <w:abstractNumId w:val="72660"/>
  </w:num>
  <w:num w:numId="42">
    <w:abstractNumId w:val="72661"/>
  </w:num>
  <w:num w:numId="43">
    <w:abstractNumId w:val="72662"/>
  </w:num>
  <w:num w:numId="44">
    <w:abstractNumId w:val="72663"/>
  </w:num>
  <w:num w:numId="45">
    <w:abstractNumId w:val="72664"/>
  </w:num>
  <w:num w:numId="46">
    <w:abstractNumId w:val="72665"/>
  </w:num>
  <w:num w:numId="47">
    <w:abstractNumId w:val="72666"/>
  </w:num>
  <w:num w:numId="48">
    <w:abstractNumId w:val="72667"/>
  </w:num>
  <w:num w:numId="49">
    <w:abstractNumId w:val="72668"/>
  </w:num>
  <w:num w:numId="50">
    <w:abstractNumId w:val="72669"/>
  </w:num>
  <w:num w:numId="51">
    <w:abstractNumId w:val="72670"/>
  </w:num>
  <w:num w:numId="52">
    <w:abstractNumId w:val="72671"/>
  </w:num>
  <w:num w:numId="53">
    <w:abstractNumId w:val="72672"/>
  </w:num>
  <w:num w:numId="54">
    <w:abstractNumId w:val="72673"/>
  </w:num>
  <w:num w:numId="55">
    <w:abstractNumId w:val="72674"/>
  </w:num>
  <w:num w:numId="56">
    <w:abstractNumId w:val="72675"/>
  </w:num>
  <w:num w:numId="57">
    <w:abstractNumId w:val="72676"/>
  </w:num>
  <w:num w:numId="58">
    <w:abstractNumId w:val="72677"/>
  </w:num>
  <w:num w:numId="59">
    <w:abstractNumId w:val="72678"/>
  </w:num>
  <w:num w:numId="60">
    <w:abstractNumId w:val="72679"/>
  </w:num>
  <w:num w:numId="61">
    <w:abstractNumId w:val="72680"/>
  </w:num>
  <w:num w:numId="62">
    <w:abstractNumId w:val="72681"/>
  </w:num>
  <w:num w:numId="63">
    <w:abstractNumId w:val="72682"/>
  </w:num>
  <w:num w:numId="64">
    <w:abstractNumId w:val="72683"/>
  </w:num>
  <w:num w:numId="65">
    <w:abstractNumId w:val="72684"/>
  </w:num>
  <w:num w:numId="66">
    <w:abstractNumId w:val="72685"/>
  </w:num>
  <w:num w:numId="67">
    <w:abstractNumId w:val="72686"/>
  </w:num>
  <w:num w:numId="68">
    <w:abstractNumId w:val="72687"/>
  </w:num>
  <w:num w:numId="69">
    <w:abstractNumId w:val="72688"/>
  </w:num>
  <w:num w:numId="70">
    <w:abstractNumId w:val="72689"/>
  </w:num>
  <w:num w:numId="71">
    <w:abstractNumId w:val="72690"/>
  </w:num>
  <w:num w:numId="72">
    <w:abstractNumId w:val="72691"/>
  </w:num>
  <w:num w:numId="73">
    <w:abstractNumId w:val="7269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2026-06-18T00:47:23Z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{"Label":"1","ContentProducer":"001191110102MACQD9K64010000","ProduceID":"7652530619869940931","ReservedCode1":"","ContentPropagator":"","PropagateID":"","ReservedCode2":""}</vt:lpwstr>
  </property>
</Properties>
</file>