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DB45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按期完工工期履约承诺书</w:t>
      </w:r>
    </w:p>
    <w:bookmarkEnd w:id="0"/>
    <w:p w14:paraId="0EFF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致：[招标单位全称]</w:t>
      </w:r>
    </w:p>
    <w:p w14:paraId="405A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结合本项目光伏场区配电、储能舱安装、升压站建设、送出线路架设、并网调试全工序工程量，结合项目山地林地施工、政企外协审批、雨季汛期施工工况，我方熟读招标文件总工期、节点工期、并网完工时限要求，现就工期履约郑重承诺如下：</w:t>
      </w:r>
    </w:p>
    <w:p w14:paraId="7CB0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严格响应招标文件既定总工期要求，精准排布分区流水施工计划，划分光伏施工区、储能施工区、升压站线路区同步平行作业，前置办结林地占用、路政占道、电网并网、林区动火、临时用地全部外协审批手续，杜绝审批滞后导致工期延误。</w:t>
      </w:r>
    </w:p>
    <w:p w14:paraId="25E6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配齐足额施工班组、大型吊装设备、调试试验机具、管理后勤人员，依托BIM进度推演优化施工工序，减少交叉施工冲突、返工整改工期损耗；合理错峰昼夜合规施工、节假日值守施工，规避农忙、汛期、大风天气工期影响，严守基础完工、设备到货、安装调试、分项验收、全容量并网五大关键节点工期。</w:t>
      </w:r>
    </w:p>
    <w:p w14:paraId="6A78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提前预判群众阻工、天气灾害、物料供货、地质变更等工期风险，依托属地外协专班柔性处置属地矛盾，提前储备应急施工物资；非不可抗力因素下，绝不出现停工、怠工、滞工情况，保障项目按期完工、按期并网送电。</w:t>
      </w:r>
    </w:p>
    <w:p w14:paraId="1DA3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仅自然灾害、政府全域管控、电网并网政策调整等不可抗力因素，依规办理工期顺延签证；其余所有原因造成工期滞后，均由我方自行承担责任，自愿按照招标文件工期违约条款赔付违约金，无偿加人加设备追赶工期，保障项目最终按期交付。</w:t>
      </w:r>
    </w:p>
    <w:p w14:paraId="3C66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5.完工后7日内完成自检整改，配合各方完成联合验收、并网送电、资料移交，不拖延竣工报验、并网移交流程。</w:t>
      </w:r>
    </w:p>
    <w:p w14:paraId="1602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0A73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7B04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3D635B43"/>
    <w:rsid w:val="651D1CF3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505CB3B11F174C2CAD8C749AFC7FCB7D_13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